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jc w:val="center"/>
        <w:rPr>
          <w:sz w:val="28"/>
          <w:highlight w:val="none"/>
        </w:rPr>
      </w:pPr>
      <w:r>
        <w:rPr>
          <w:b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7677" cy="65435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57677" cy="6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91pt;height:51.52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876"/>
        <w:jc w:val="center"/>
        <w:rPr>
          <w:sz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87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КОНТРОЛЬНОЕ УПРАВЛЕНИЕ НОВОСИБИРСКОЙ ОБЛАСТИ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76"/>
        <w:jc w:val="center"/>
        <w:rPr>
          <w:sz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876"/>
        <w:jc w:val="center"/>
        <w:rPr>
          <w:sz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87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ПРИКАЗ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76"/>
        <w:jc w:val="center"/>
        <w:rPr>
          <w:sz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876"/>
        <w:jc w:val="center"/>
        <w:rPr>
          <w:sz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876"/>
        <w:rPr>
          <w:sz w:val="28"/>
          <w:highlight w:val="none"/>
        </w:rPr>
      </w:pPr>
      <w:r>
        <w:rPr>
          <w:sz w:val="28"/>
          <w:highlight w:val="none"/>
        </w:rPr>
        <w:t xml:space="preserve">___.</w:t>
      </w:r>
      <w:r>
        <w:rPr>
          <w:sz w:val="28"/>
          <w:highlight w:val="none"/>
        </w:rPr>
        <w:t xml:space="preserve">02.</w:t>
      </w:r>
      <w:r>
        <w:rPr>
          <w:sz w:val="28"/>
          <w:highlight w:val="none"/>
        </w:rPr>
        <w:t xml:space="preserve">20</w:t>
      </w:r>
      <w:r>
        <w:rPr>
          <w:sz w:val="28"/>
          <w:highlight w:val="none"/>
        </w:rPr>
        <w:t xml:space="preserve">2</w:t>
      </w:r>
      <w:r>
        <w:rPr>
          <w:sz w:val="28"/>
          <w:highlight w:val="none"/>
        </w:rPr>
        <w:t xml:space="preserve">4</w:t>
      </w:r>
      <w:r>
        <w:rPr>
          <w:sz w:val="28"/>
          <w:highlight w:val="none"/>
        </w:rPr>
        <w:t xml:space="preserve">                                                                                                   </w:t>
      </w:r>
      <w:r>
        <w:rPr>
          <w:sz w:val="28"/>
          <w:highlight w:val="none"/>
        </w:rPr>
        <w:t xml:space="preserve">№ </w:t>
      </w:r>
      <w:r>
        <w:rPr>
          <w:sz w:val="28"/>
          <w:highlight w:val="none"/>
        </w:rPr>
        <w:t xml:space="preserve">_</w:t>
      </w:r>
      <w:r>
        <w:rPr>
          <w:sz w:val="28"/>
          <w:highlight w:val="none"/>
        </w:rPr>
        <w:t xml:space="preserve">_</w:t>
      </w:r>
      <w:r>
        <w:rPr>
          <w:sz w:val="28"/>
          <w:highlight w:val="none"/>
        </w:rPr>
        <w:t xml:space="preserve">_</w:t>
      </w:r>
      <w:r>
        <w:rPr>
          <w:sz w:val="28"/>
          <w:highlight w:val="none"/>
        </w:rPr>
        <w:t xml:space="preserve">-НПА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876"/>
        <w:jc w:val="center"/>
        <w:rPr>
          <w:color w:val="000000"/>
          <w:sz w:val="28"/>
          <w:szCs w:val="28"/>
          <w:highlight w:val="none"/>
        </w:rPr>
        <w:outlineLvl w:val="0"/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6"/>
        <w:jc w:val="center"/>
        <w:rPr>
          <w:color w:val="000000"/>
          <w:sz w:val="28"/>
          <w:szCs w:val="28"/>
          <w:highlight w:val="none"/>
        </w:rPr>
        <w:outlineLvl w:val="0"/>
      </w:pPr>
      <w:r>
        <w:rPr>
          <w:color w:val="000000"/>
          <w:sz w:val="28"/>
          <w:szCs w:val="28"/>
          <w:highlight w:val="none"/>
        </w:rPr>
        <w:t xml:space="preserve">г. Новосибирск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6"/>
        <w:jc w:val="center"/>
        <w:rPr>
          <w:b/>
          <w:color w:val="000000"/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bookmarkStart w:id="0" w:name="main"/>
      <w:r>
        <w:rPr>
          <w:sz w:val="28"/>
          <w:szCs w:val="28"/>
          <w:highlight w:val="none"/>
        </w:rPr>
      </w:r>
      <w:bookmarkEnd w:id="0"/>
      <w:r>
        <w:rPr>
          <w:sz w:val="28"/>
          <w:szCs w:val="28"/>
          <w:highlight w:val="none"/>
        </w:rPr>
      </w:r>
      <w:bookmarkStart w:id="1" w:name="signtitle"/>
      <w:r>
        <w:rPr>
          <w:sz w:val="28"/>
          <w:szCs w:val="28"/>
          <w:highlight w:val="none"/>
        </w:rPr>
      </w:r>
      <w:bookmarkEnd w:id="1"/>
      <w:r>
        <w:rPr>
          <w:sz w:val="28"/>
          <w:szCs w:val="28"/>
          <w:highlight w:val="none"/>
        </w:rPr>
      </w:r>
      <w:bookmarkStart w:id="2" w:name="tempor"/>
      <w:r>
        <w:rPr>
          <w:sz w:val="28"/>
          <w:szCs w:val="28"/>
          <w:highlight w:val="none"/>
        </w:rPr>
      </w:r>
      <w:bookmarkEnd w:id="2"/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pStyle w:val="876"/>
        <w:jc w:val="center"/>
        <w:rPr>
          <w:b/>
          <w:color w:val="000000"/>
          <w:sz w:val="28"/>
          <w:szCs w:val="28"/>
          <w:highlight w:val="none"/>
        </w:rPr>
        <w:outlineLvl w:val="0"/>
      </w:pP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pStyle w:val="876"/>
        <w:jc w:val="center"/>
        <w:rPr>
          <w:b/>
          <w:bCs/>
          <w:color w:val="000000"/>
          <w:sz w:val="28"/>
          <w:szCs w:val="28"/>
          <w:highlight w:val="none"/>
          <w:vertAlign w:val="baseline"/>
        </w:rPr>
      </w:pPr>
      <w:r>
        <w:rPr>
          <w:b/>
          <w:bCs/>
          <w:color w:val="000000"/>
          <w:sz w:val="28"/>
          <w:szCs w:val="28"/>
          <w:highlight w:val="none"/>
          <w:vertAlign w:val="baseline"/>
        </w:rPr>
        <w:t xml:space="preserve">О внесении изменен</w:t>
      </w:r>
      <w:r>
        <w:rPr>
          <w:b/>
          <w:bCs/>
          <w:color w:val="000000"/>
          <w:sz w:val="28"/>
          <w:szCs w:val="28"/>
          <w:highlight w:val="none"/>
          <w:vertAlign w:val="baseline"/>
        </w:rPr>
        <w:t xml:space="preserve">и</w:t>
      </w:r>
      <w:r>
        <w:rPr>
          <w:b/>
          <w:bCs/>
          <w:color w:val="000000"/>
          <w:sz w:val="28"/>
          <w:szCs w:val="28"/>
          <w:highlight w:val="none"/>
          <w:vertAlign w:val="baseline"/>
        </w:rPr>
        <w:t xml:space="preserve">й</w:t>
      </w:r>
      <w:r>
        <w:rPr>
          <w:b/>
          <w:bCs/>
          <w:color w:val="000000"/>
          <w:sz w:val="28"/>
          <w:szCs w:val="28"/>
          <w:highlight w:val="none"/>
          <w:vertAlign w:val="baseline"/>
        </w:rPr>
        <w:t xml:space="preserve"> в </w:t>
      </w:r>
      <w:r>
        <w:rPr>
          <w:b/>
          <w:bCs/>
          <w:color w:val="000000"/>
          <w:sz w:val="28"/>
          <w:szCs w:val="28"/>
          <w:highlight w:val="none"/>
          <w:vertAlign w:val="baseline"/>
        </w:rPr>
        <w:t xml:space="preserve">приказ контрольного управления Новосибирской области от 26.11.2019 № 360 «Об утверждении Порядка уведомления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</w:t>
      </w:r>
      <w:r>
        <w:rPr>
          <w:b/>
          <w:bCs/>
          <w:color w:val="000000"/>
          <w:sz w:val="28"/>
          <w:szCs w:val="28"/>
          <w:highlight w:val="none"/>
          <w:vertAlign w:val="baseline"/>
        </w:rPr>
        <w:t xml:space="preserve">контрольном управлении Новосибирской области, представителя нанимателя о фактах обращения к ним в целях склонения к совершению коррупционных правонарушений</w:t>
      </w:r>
      <w:r>
        <w:rPr>
          <w:b/>
          <w:bCs/>
          <w:color w:val="000000"/>
          <w:sz w:val="28"/>
          <w:szCs w:val="28"/>
          <w:highlight w:val="none"/>
          <w:vertAlign w:val="baseline"/>
        </w:rPr>
        <w:t xml:space="preserve">» </w:t>
      </w:r>
      <w:r>
        <w:rPr>
          <w:b/>
          <w:bCs/>
          <w:color w:val="000000"/>
          <w:sz w:val="28"/>
          <w:szCs w:val="28"/>
          <w:highlight w:val="none"/>
          <w:vertAlign w:val="baseline"/>
        </w:rPr>
      </w:r>
      <w:r>
        <w:rPr>
          <w:b/>
          <w:bCs/>
          <w:color w:val="000000"/>
          <w:sz w:val="28"/>
          <w:szCs w:val="28"/>
          <w:highlight w:val="none"/>
          <w:vertAlign w:val="baseline"/>
        </w:rPr>
      </w:r>
    </w:p>
    <w:p>
      <w:pPr>
        <w:pStyle w:val="876"/>
        <w:ind w:firstLine="709"/>
        <w:jc w:val="both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pStyle w:val="876"/>
        <w:ind w:firstLine="709"/>
        <w:jc w:val="both"/>
        <w:rPr>
          <w:b/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  <w:t xml:space="preserve">В соответствии с частью 5 статьи 9 Федерального закона от 25.12.2008 № 273-ФЗ «О противодействии коррупции», пунктом 2 постановления Губернатора Новосибирской области от 20.06.2016 № 147 «Об уведомлении лицами, замещающими отдельные должности государственн</w:t>
      </w:r>
      <w:r>
        <w:rPr>
          <w:sz w:val="28"/>
          <w:szCs w:val="28"/>
        </w:rPr>
        <w:t xml:space="preserve">ой гражданской службы Новосибирской области, о фактах обращения к ним в целях склонения к совершению коррупционных правонарушений»</w:t>
      </w:r>
      <w:r>
        <w:rPr>
          <w:color w:val="000000"/>
          <w:sz w:val="28"/>
          <w:szCs w:val="28"/>
          <w:highlight w:val="none"/>
        </w:rPr>
        <w:t xml:space="preserve">, </w:t>
      </w:r>
      <w:r>
        <w:rPr>
          <w:b/>
          <w:color w:val="000000"/>
          <w:sz w:val="28"/>
          <w:szCs w:val="28"/>
          <w:highlight w:val="none"/>
        </w:rPr>
        <w:t xml:space="preserve">п</w:t>
      </w:r>
      <w:r>
        <w:rPr>
          <w:b/>
          <w:color w:val="000000"/>
          <w:sz w:val="28"/>
          <w:szCs w:val="28"/>
          <w:highlight w:val="none"/>
        </w:rPr>
        <w:t xml:space="preserve"> р и к а з ы в а ю: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pStyle w:val="876"/>
        <w:ind w:firstLine="709"/>
        <w:jc w:val="both"/>
        <w:rPr>
          <w:b w:val="0"/>
          <w:bCs w:val="0"/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1. Внести в приказ контрольного управления Новосибирской области</w:t>
      </w:r>
      <w:r>
        <w:rPr>
          <w:b/>
          <w:bCs/>
          <w:color w:val="000000"/>
          <w:sz w:val="28"/>
          <w:szCs w:val="28"/>
          <w:highlight w:val="none"/>
          <w:vertAlign w:val="baseline"/>
        </w:rPr>
        <w:t xml:space="preserve"> 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от 26.11.2019 № 360 «Об утверждении Порядка уведомления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контрольном управлении Новосибирской области, представителя нанимателя о фактах обращения к ним в целях склонения к совершению коррупционных правонарушений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»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следующ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ие изменения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: 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76"/>
        <w:ind w:firstLine="709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В 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Порядке уведомления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контрольном управлении Новосибирской области, представителя нанимателя о фактах обращения к ним в целях склонения к совершению коррупционных правонарушений</w:t>
      </w:r>
      <w:r>
        <w:rPr>
          <w:rFonts w:eastAsia="Calibri"/>
          <w:color w:val="000000"/>
          <w:sz w:val="28"/>
          <w:szCs w:val="28"/>
          <w:highlight w:val="none"/>
        </w:rPr>
        <w:t xml:space="preserve">: 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1) пункт 2 дополнить абзацами следующего содержания: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«</w:t>
      </w:r>
      <w:r>
        <w:rPr>
          <w:rFonts w:eastAsia="Calibri"/>
          <w:color w:val="000000"/>
          <w:sz w:val="28"/>
          <w:szCs w:val="28"/>
          <w:highlight w:val="none"/>
        </w:rPr>
        <w:t xml:space="preserve">Гражданский служащий в случае невозможности уведомления начальника управления обо всех фактах обращения к нему каких-либо лиц в целях склонения его к совершению коррупционных правонарушений по независящим от него обстоятельствам представляет уве</w:t>
      </w:r>
      <w:r>
        <w:rPr>
          <w:rFonts w:eastAsia="Calibri"/>
          <w:color w:val="000000"/>
          <w:sz w:val="28"/>
          <w:szCs w:val="28"/>
          <w:highlight w:val="none"/>
        </w:rPr>
        <w:t xml:space="preserve">домление об этом в порядке, установленном Федеральным законом от 25.12.2008 № 273-ФЗ «О противодействии коррупции».</w:t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Порядок рассмотрения и форма указанного уведомления устанавливаются </w:t>
      </w:r>
      <w:r>
        <w:rPr>
          <w:rFonts w:eastAsia="Calibri"/>
          <w:color w:val="000000"/>
          <w:sz w:val="28"/>
          <w:szCs w:val="28"/>
          <w:highlight w:val="none"/>
        </w:rPr>
        <w:t xml:space="preserve">Положением о комиссии по соб</w:t>
      </w:r>
      <w:r>
        <w:rPr>
          <w:rFonts w:eastAsia="Calibri"/>
          <w:color w:val="000000"/>
          <w:sz w:val="28"/>
          <w:szCs w:val="28"/>
          <w:highlight w:val="none"/>
        </w:rPr>
        <w:t xml:space="preserve">людению требований к служебному поведению государственных гражданских служащих Новосибирской области и урегулированию конфликта интересов в контрольном управлении Новосибирской области, утвержденным приказом контрольного управления Новосибирской о</w:t>
      </w:r>
      <w:r>
        <w:rPr>
          <w:rFonts w:eastAsia="Calibri"/>
          <w:color w:val="000000"/>
          <w:sz w:val="28"/>
          <w:szCs w:val="28"/>
          <w:highlight w:val="white"/>
        </w:rPr>
        <w:t xml:space="preserve">бласти</w:t>
      </w:r>
      <w:r>
        <w:rPr>
          <w:rFonts w:eastAsia="Calibri"/>
          <w:color w:val="000000"/>
          <w:sz w:val="28"/>
          <w:szCs w:val="28"/>
          <w:highlight w:val="white"/>
        </w:rPr>
        <w:t xml:space="preserve">;</w:t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2) в пунктах 4, 8, 14 слова «</w:t>
      </w:r>
      <w:r>
        <w:rPr>
          <w:rFonts w:eastAsia="Calibri"/>
          <w:color w:val="000000"/>
          <w:sz w:val="28"/>
          <w:szCs w:val="28"/>
          <w:highlight w:val="none"/>
        </w:rPr>
        <w:t xml:space="preserve">отдел организационно-кадровой работы» заменить словами «</w:t>
      </w:r>
      <w:r>
        <w:rPr>
          <w:rFonts w:eastAsia="Calibri"/>
          <w:color w:val="000000"/>
          <w:sz w:val="28"/>
          <w:szCs w:val="28"/>
          <w:highlight w:val="none"/>
        </w:rPr>
        <w:t xml:space="preserve">отдел </w:t>
      </w:r>
      <w:r>
        <w:rPr>
          <w:rFonts w:eastAsia="Calibri"/>
          <w:sz w:val="28"/>
          <w:szCs w:val="28"/>
          <w:highlight w:val="none"/>
        </w:rPr>
        <w:t xml:space="preserve">организационно-</w:t>
      </w:r>
      <w:r>
        <w:rPr>
          <w:rFonts w:eastAsia="Calibri"/>
          <w:sz w:val="28"/>
          <w:szCs w:val="28"/>
          <w:highlight w:val="none"/>
        </w:rPr>
        <w:t xml:space="preserve">правовой и </w:t>
      </w:r>
      <w:r>
        <w:rPr>
          <w:rFonts w:eastAsia="Calibri"/>
          <w:sz w:val="28"/>
          <w:szCs w:val="28"/>
          <w:highlight w:val="none"/>
        </w:rPr>
        <w:t xml:space="preserve">кадровой работы</w:t>
      </w:r>
      <w:r>
        <w:rPr>
          <w:rFonts w:eastAsia="Calibri"/>
          <w:color w:val="000000"/>
          <w:sz w:val="28"/>
          <w:szCs w:val="28"/>
          <w:highlight w:val="none"/>
        </w:rPr>
        <w:t xml:space="preserve">».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pStyle w:val="904"/>
        <w:jc w:val="both"/>
        <w:rPr>
          <w:color w:val="000000"/>
          <w:szCs w:val="28"/>
          <w:highlight w:val="none"/>
        </w:rPr>
      </w:pPr>
      <w:r>
        <w:rPr>
          <w:color w:val="000000"/>
          <w:szCs w:val="28"/>
          <w:highlight w:val="none"/>
        </w:rPr>
        <w:t xml:space="preserve">2</w:t>
      </w:r>
      <w:r>
        <w:rPr>
          <w:color w:val="000000"/>
          <w:szCs w:val="28"/>
          <w:highlight w:val="none"/>
        </w:rPr>
        <w:t xml:space="preserve">. Контроль за исполнением приказа оставляю за собой. </w:t>
      </w:r>
      <w:r>
        <w:rPr>
          <w:color w:val="000000"/>
          <w:szCs w:val="28"/>
          <w:highlight w:val="none"/>
        </w:rPr>
      </w:r>
      <w:r>
        <w:rPr>
          <w:color w:val="000000"/>
          <w:szCs w:val="28"/>
          <w:highlight w:val="none"/>
        </w:rPr>
      </w:r>
    </w:p>
    <w:p>
      <w:pPr>
        <w:pStyle w:val="904"/>
        <w:jc w:val="both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4"/>
        <w:jc w:val="both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4"/>
        <w:jc w:val="both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4"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Н</w:t>
      </w:r>
      <w:r>
        <w:rPr>
          <w:color w:val="000000"/>
          <w:szCs w:val="28"/>
        </w:rPr>
        <w:t xml:space="preserve">ачальник управления                                                                          </w:t>
      </w:r>
      <w:r>
        <w:rPr>
          <w:color w:val="000000"/>
          <w:szCs w:val="28"/>
        </w:rPr>
        <w:t xml:space="preserve">       С.Л. Шарпф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4"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876"/>
        <w:jc w:val="center"/>
        <w:rPr>
          <w:b/>
          <w:color w:val="000000"/>
          <w:sz w:val="28"/>
        </w:rPr>
        <w:outlineLvl w:val="0"/>
      </w:pP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Style w:val="876"/>
        <w:jc w:val="center"/>
        <w:rPr>
          <w:b/>
          <w:color w:val="000000"/>
          <w:sz w:val="28"/>
        </w:rPr>
        <w:outlineLvl w:val="0"/>
      </w:pP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6"/>
        <w:jc w:val="both"/>
        <w:rPr>
          <w:highlight w:val="none"/>
        </w:rPr>
      </w:pPr>
      <w:r>
        <w:t xml:space="preserve">О.С. Груздева</w:t>
      </w:r>
      <w:r>
        <w:rPr>
          <w:highlight w:val="none"/>
        </w:rPr>
      </w:r>
      <w:r>
        <w:rPr>
          <w:highlight w:val="none"/>
        </w:rPr>
      </w:r>
    </w:p>
    <w:p>
      <w:pPr>
        <w:pStyle w:val="876"/>
        <w:jc w:val="both"/>
      </w:pPr>
      <w:r>
        <w:t xml:space="preserve">238 63 90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822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>
    <w:pPr>
      <w:pStyle w:val="9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qFormat/>
    <w:rPr>
      <w:rFonts w:ascii="Times New Roman" w:hAnsi="Times New Roman" w:eastAsia="Times New Roman"/>
      <w:lang w:val="ru-RU" w:eastAsia="ru-RU" w:bidi="ar-SA"/>
    </w:rPr>
  </w:style>
  <w:style w:type="paragraph" w:styleId="877">
    <w:name w:val="Заголовок 3"/>
    <w:basedOn w:val="876"/>
    <w:next w:val="876"/>
    <w:link w:val="893"/>
    <w:qFormat/>
    <w:pPr>
      <w:ind w:left="-720" w:firstLine="720"/>
      <w:jc w:val="center"/>
      <w:keepNext/>
      <w:spacing w:line="360" w:lineRule="auto"/>
      <w:outlineLvl w:val="2"/>
    </w:pPr>
    <w:rPr>
      <w:sz w:val="28"/>
      <w:szCs w:val="24"/>
    </w:rPr>
  </w:style>
  <w:style w:type="character" w:styleId="878">
    <w:name w:val="Основной шрифт абзаца"/>
    <w:next w:val="878"/>
    <w:link w:val="876"/>
    <w:uiPriority w:val="1"/>
    <w:semiHidden/>
    <w:unhideWhenUsed/>
  </w:style>
  <w:style w:type="table" w:styleId="879">
    <w:name w:val="Обычная таблица"/>
    <w:next w:val="879"/>
    <w:link w:val="876"/>
    <w:uiPriority w:val="99"/>
    <w:semiHidden/>
    <w:unhideWhenUsed/>
    <w:tblPr/>
  </w:style>
  <w:style w:type="numbering" w:styleId="880">
    <w:name w:val="Нет списка"/>
    <w:next w:val="880"/>
    <w:link w:val="876"/>
    <w:uiPriority w:val="99"/>
    <w:semiHidden/>
    <w:unhideWhenUsed/>
  </w:style>
  <w:style w:type="paragraph" w:styleId="881">
    <w:name w:val="Текст выноски"/>
    <w:basedOn w:val="876"/>
    <w:next w:val="881"/>
    <w:link w:val="882"/>
    <w:uiPriority w:val="99"/>
    <w:semiHidden/>
    <w:rPr>
      <w:rFonts w:ascii="Tahoma" w:hAnsi="Tahoma" w:cs="Tahoma"/>
      <w:sz w:val="16"/>
      <w:szCs w:val="16"/>
    </w:rPr>
  </w:style>
  <w:style w:type="character" w:styleId="882">
    <w:name w:val="Текст выноски Знак"/>
    <w:next w:val="882"/>
    <w:link w:val="881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883">
    <w:name w:val="Основной текст,body text,Основной текст Знак Знак,NoticeText-List"/>
    <w:basedOn w:val="876"/>
    <w:next w:val="883"/>
    <w:link w:val="884"/>
    <w:uiPriority w:val="99"/>
    <w:pPr>
      <w:jc w:val="both"/>
      <w:spacing w:after="120"/>
    </w:pPr>
    <w:rPr>
      <w:sz w:val="24"/>
      <w:szCs w:val="24"/>
    </w:rPr>
  </w:style>
  <w:style w:type="character" w:styleId="884">
    <w:name w:val="Основной текст Знак1,body text Знак,Основной текст Знак Знак Знак,NoticeText-List Знак"/>
    <w:next w:val="884"/>
    <w:link w:val="883"/>
    <w:uiPriority w:val="99"/>
    <w:rPr>
      <w:rFonts w:ascii="Times New Roman" w:hAnsi="Times New Roman" w:cs="Times New Roman"/>
      <w:sz w:val="24"/>
      <w:lang w:eastAsia="ru-RU"/>
    </w:rPr>
  </w:style>
  <w:style w:type="character" w:styleId="885">
    <w:name w:val="Основной текст Знак"/>
    <w:next w:val="885"/>
    <w:link w:val="876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paragraph" w:styleId="886">
    <w:name w:val="Основной текст с отступом"/>
    <w:basedOn w:val="876"/>
    <w:next w:val="886"/>
    <w:link w:val="887"/>
    <w:uiPriority w:val="99"/>
    <w:pPr>
      <w:ind w:left="283"/>
      <w:jc w:val="both"/>
      <w:spacing w:after="120"/>
    </w:pPr>
    <w:rPr>
      <w:sz w:val="24"/>
      <w:szCs w:val="24"/>
    </w:rPr>
  </w:style>
  <w:style w:type="character" w:styleId="887">
    <w:name w:val="Основной текст с отступом Знак"/>
    <w:next w:val="887"/>
    <w:link w:val="886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888">
    <w:name w:val="Заголовок"/>
    <w:basedOn w:val="876"/>
    <w:next w:val="888"/>
    <w:link w:val="889"/>
    <w:uiPriority w:val="99"/>
    <w:qFormat/>
    <w:pPr>
      <w:jc w:val="center"/>
      <w:spacing w:line="360" w:lineRule="auto"/>
    </w:pPr>
    <w:rPr>
      <w:sz w:val="26"/>
    </w:rPr>
  </w:style>
  <w:style w:type="character" w:styleId="889">
    <w:name w:val="Заголовок Знак"/>
    <w:next w:val="889"/>
    <w:link w:val="888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890">
    <w:name w:val="Знак21"/>
    <w:basedOn w:val="876"/>
    <w:next w:val="890"/>
    <w:link w:val="876"/>
    <w:uiPriority w:val="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891">
    <w:name w:val="Абзац списка"/>
    <w:basedOn w:val="876"/>
    <w:next w:val="891"/>
    <w:link w:val="876"/>
    <w:uiPriority w:val="34"/>
    <w:qFormat/>
    <w:pPr>
      <w:contextualSpacing/>
      <w:ind w:left="720"/>
    </w:pPr>
  </w:style>
  <w:style w:type="paragraph" w:styleId="892">
    <w:name w:val="Без интервала"/>
    <w:next w:val="892"/>
    <w:link w:val="876"/>
    <w:uiPriority w:val="1"/>
    <w:qFormat/>
    <w:rPr>
      <w:sz w:val="22"/>
      <w:szCs w:val="22"/>
      <w:lang w:val="ru-RU" w:eastAsia="en-US" w:bidi="ar-SA"/>
    </w:rPr>
  </w:style>
  <w:style w:type="character" w:styleId="893">
    <w:name w:val="Заголовок 3 Знак"/>
    <w:next w:val="893"/>
    <w:link w:val="877"/>
    <w:rPr>
      <w:rFonts w:ascii="Times New Roman" w:hAnsi="Times New Roman" w:eastAsia="Times New Roman"/>
      <w:sz w:val="28"/>
      <w:szCs w:val="24"/>
    </w:rPr>
  </w:style>
  <w:style w:type="character" w:styleId="894">
    <w:name w:val="Основной текст (2)_"/>
    <w:next w:val="894"/>
    <w:link w:val="895"/>
    <w:rPr>
      <w:rFonts w:ascii="Times New Roman" w:hAnsi="Times New Roman" w:eastAsia="Times New Roman"/>
      <w:b/>
      <w:bCs/>
      <w:sz w:val="28"/>
      <w:szCs w:val="28"/>
      <w:shd w:val="clear" w:color="auto" w:fill="ffffff"/>
    </w:rPr>
  </w:style>
  <w:style w:type="paragraph" w:styleId="895">
    <w:name w:val="Основной текст (2)"/>
    <w:basedOn w:val="876"/>
    <w:next w:val="895"/>
    <w:link w:val="894"/>
    <w:pPr>
      <w:jc w:val="both"/>
      <w:spacing w:before="360" w:after="720" w:line="0" w:lineRule="atLeast"/>
      <w:shd w:val="clear" w:color="auto" w:fill="ffffff"/>
      <w:widowControl w:val="off"/>
    </w:pPr>
    <w:rPr>
      <w:b/>
      <w:bCs/>
      <w:sz w:val="28"/>
      <w:szCs w:val="28"/>
    </w:rPr>
  </w:style>
  <w:style w:type="character" w:styleId="896">
    <w:name w:val="Основной текст_"/>
    <w:next w:val="896"/>
    <w:link w:val="898"/>
    <w:rPr>
      <w:rFonts w:ascii="Times New Roman" w:hAnsi="Times New Roman" w:eastAsia="Times New Roman"/>
      <w:sz w:val="28"/>
      <w:szCs w:val="28"/>
      <w:shd w:val="clear" w:color="auto" w:fill="ffffff"/>
    </w:rPr>
  </w:style>
  <w:style w:type="character" w:styleId="897">
    <w:name w:val="Основной текст + Полужирный;Интервал 3 pt"/>
    <w:next w:val="897"/>
    <w:link w:val="876"/>
    <w:rPr>
      <w:rFonts w:ascii="Times New Roman" w:hAnsi="Times New Roman" w:eastAsia="Times New Roman"/>
      <w:b/>
      <w:bCs/>
      <w:color w:val="000000"/>
      <w:spacing w:val="60"/>
      <w:position w:val="0"/>
      <w:sz w:val="28"/>
      <w:szCs w:val="28"/>
      <w:shd w:val="clear" w:color="auto" w:fill="ffffff"/>
      <w:lang w:val="ru-RU"/>
    </w:rPr>
  </w:style>
  <w:style w:type="paragraph" w:styleId="898">
    <w:name w:val="Основной текст1"/>
    <w:basedOn w:val="876"/>
    <w:next w:val="898"/>
    <w:link w:val="896"/>
    <w:pPr>
      <w:jc w:val="center"/>
      <w:spacing w:before="360" w:after="720" w:line="0" w:lineRule="atLeast"/>
      <w:shd w:val="clear" w:color="auto" w:fill="ffffff"/>
      <w:widowControl w:val="off"/>
    </w:pPr>
    <w:rPr>
      <w:sz w:val="28"/>
      <w:szCs w:val="28"/>
    </w:rPr>
  </w:style>
  <w:style w:type="character" w:styleId="899">
    <w:name w:val="Верхний колонтитул Знак, Знак Знак"/>
    <w:next w:val="899"/>
    <w:link w:val="900"/>
    <w:uiPriority w:val="99"/>
    <w:rPr>
      <w:sz w:val="28"/>
      <w:szCs w:val="28"/>
    </w:rPr>
  </w:style>
  <w:style w:type="paragraph" w:styleId="900">
    <w:name w:val="Верхний колонтитул, Знак"/>
    <w:basedOn w:val="876"/>
    <w:next w:val="900"/>
    <w:link w:val="899"/>
    <w:uiPriority w:val="99"/>
    <w:pPr>
      <w:tabs>
        <w:tab w:val="center" w:pos="4153" w:leader="none"/>
        <w:tab w:val="right" w:pos="8306" w:leader="none"/>
      </w:tabs>
    </w:pPr>
    <w:rPr>
      <w:rFonts w:ascii="Calibri" w:hAnsi="Calibri" w:eastAsia="Calibri"/>
      <w:sz w:val="28"/>
      <w:szCs w:val="28"/>
    </w:rPr>
  </w:style>
  <w:style w:type="character" w:styleId="901">
    <w:name w:val="Верхний колонтитул Знак1"/>
    <w:next w:val="901"/>
    <w:link w:val="876"/>
    <w:uiPriority w:val="99"/>
    <w:semiHidden/>
    <w:rPr>
      <w:rFonts w:ascii="Times New Roman" w:hAnsi="Times New Roman" w:eastAsia="Times New Roman"/>
    </w:rPr>
  </w:style>
  <w:style w:type="paragraph" w:styleId="902">
    <w:name w:val="Основной текст с отступом 3"/>
    <w:basedOn w:val="876"/>
    <w:next w:val="902"/>
    <w:link w:val="903"/>
    <w:pPr>
      <w:ind w:left="283"/>
      <w:spacing w:after="120"/>
    </w:pPr>
    <w:rPr>
      <w:sz w:val="16"/>
      <w:szCs w:val="16"/>
    </w:rPr>
  </w:style>
  <w:style w:type="character" w:styleId="903">
    <w:name w:val="Основной текст с отступом 3 Знак"/>
    <w:next w:val="903"/>
    <w:link w:val="902"/>
    <w:rPr>
      <w:rFonts w:ascii="Times New Roman" w:hAnsi="Times New Roman" w:eastAsia="Times New Roman"/>
      <w:sz w:val="16"/>
      <w:szCs w:val="16"/>
    </w:rPr>
  </w:style>
  <w:style w:type="paragraph" w:styleId="904">
    <w:name w:val="Официальный"/>
    <w:basedOn w:val="876"/>
    <w:next w:val="904"/>
    <w:link w:val="876"/>
    <w:qFormat/>
    <w:pPr>
      <w:ind w:firstLine="709"/>
    </w:pPr>
    <w:rPr>
      <w:rFonts w:eastAsia="Calibri"/>
      <w:sz w:val="28"/>
      <w:szCs w:val="22"/>
      <w:lang w:eastAsia="en-US"/>
    </w:rPr>
  </w:style>
  <w:style w:type="character" w:styleId="905">
    <w:name w:val="Гиперссылка"/>
    <w:next w:val="905"/>
    <w:link w:val="876"/>
    <w:uiPriority w:val="99"/>
    <w:unhideWhenUsed/>
    <w:rPr>
      <w:color w:val="0000ff"/>
      <w:u w:val="single"/>
    </w:rPr>
  </w:style>
  <w:style w:type="paragraph" w:styleId="906">
    <w:name w:val="Нижний колонтитул"/>
    <w:basedOn w:val="876"/>
    <w:next w:val="906"/>
    <w:link w:val="90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7">
    <w:name w:val="Нижний колонтитул Знак"/>
    <w:next w:val="907"/>
    <w:link w:val="906"/>
    <w:uiPriority w:val="99"/>
    <w:rPr>
      <w:rFonts w:ascii="Times New Roman" w:hAnsi="Times New Roman" w:eastAsia="Times New Roman"/>
    </w:rPr>
  </w:style>
  <w:style w:type="character" w:styleId="908" w:default="1">
    <w:name w:val="Default Paragraph Font"/>
    <w:uiPriority w:val="1"/>
    <w:semiHidden/>
    <w:unhideWhenUsed/>
  </w:style>
  <w:style w:type="numbering" w:styleId="909" w:default="1">
    <w:name w:val="No List"/>
    <w:uiPriority w:val="99"/>
    <w:semiHidden/>
    <w:unhideWhenUsed/>
  </w:style>
  <w:style w:type="table" w:styleId="91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Юлия Александровна</dc:creator>
  <cp:revision>8</cp:revision>
  <dcterms:created xsi:type="dcterms:W3CDTF">2023-10-11T08:51:00Z</dcterms:created>
  <dcterms:modified xsi:type="dcterms:W3CDTF">2024-02-08T04:34:49Z</dcterms:modified>
  <cp:version>1048576</cp:version>
</cp:coreProperties>
</file>