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CF1" w:rsidRDefault="00393CF1" w:rsidP="00393CF1">
      <w:pPr>
        <w:pStyle w:val="ConsPlusNormal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CF5032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</w:t>
      </w:r>
    </w:p>
    <w:p w:rsidR="00393CF1" w:rsidRDefault="00393CF1" w:rsidP="00393CF1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393CF1" w:rsidRDefault="00393CF1" w:rsidP="00393CF1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393CF1" w:rsidRDefault="00393CF1" w:rsidP="00393CF1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  № ___ </w:t>
      </w:r>
      <w:proofErr w:type="gramStart"/>
      <w:r>
        <w:rPr>
          <w:rFonts w:ascii="Times New Roman" w:hAnsi="Times New Roman" w:cs="Times New Roman"/>
          <w:sz w:val="28"/>
          <w:szCs w:val="28"/>
        </w:rPr>
        <w:t>-п</w:t>
      </w:r>
      <w:proofErr w:type="gramEnd"/>
    </w:p>
    <w:p w:rsidR="00393CF1" w:rsidRDefault="00393CF1" w:rsidP="00393CF1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393CF1" w:rsidRDefault="00393CF1" w:rsidP="00393CF1">
      <w:pPr>
        <w:pStyle w:val="ConsPlusNormal"/>
        <w:ind w:firstLine="5954"/>
        <w:jc w:val="center"/>
        <w:rPr>
          <w:rFonts w:ascii="Times New Roman" w:hAnsi="Times New Roman" w:cs="Times New Roman"/>
          <w:sz w:val="28"/>
          <w:szCs w:val="28"/>
        </w:rPr>
      </w:pPr>
    </w:p>
    <w:p w:rsidR="00574C77" w:rsidRDefault="00574C77"/>
    <w:p w:rsidR="00393CF1" w:rsidRPr="00393CF1" w:rsidRDefault="00393CF1" w:rsidP="00393CF1">
      <w:pPr>
        <w:jc w:val="center"/>
        <w:rPr>
          <w:b/>
          <w:color w:val="000000"/>
          <w:sz w:val="28"/>
          <w:szCs w:val="28"/>
        </w:rPr>
      </w:pPr>
      <w:r w:rsidRPr="00393CF1">
        <w:rPr>
          <w:b/>
          <w:color w:val="000000"/>
          <w:sz w:val="28"/>
          <w:szCs w:val="28"/>
        </w:rPr>
        <w:t>Режим</w:t>
      </w:r>
      <w:r w:rsidR="008B1F56">
        <w:rPr>
          <w:b/>
          <w:color w:val="000000"/>
          <w:sz w:val="28"/>
          <w:szCs w:val="28"/>
        </w:rPr>
        <w:t>ы</w:t>
      </w:r>
      <w:r w:rsidRPr="00393CF1">
        <w:rPr>
          <w:b/>
          <w:color w:val="000000"/>
          <w:sz w:val="28"/>
          <w:szCs w:val="28"/>
        </w:rPr>
        <w:t xml:space="preserve"> использования земель в границах территории зон охраны и требования к градостроительным регламентам в границах территорий данных зон объекта культурного наследия регионального значения «Дом жилой «</w:t>
      </w:r>
      <w:proofErr w:type="spellStart"/>
      <w:r w:rsidRPr="00393CF1">
        <w:rPr>
          <w:b/>
          <w:color w:val="000000"/>
          <w:sz w:val="28"/>
          <w:szCs w:val="28"/>
        </w:rPr>
        <w:t>Союззолото</w:t>
      </w:r>
      <w:proofErr w:type="spellEnd"/>
      <w:r w:rsidRPr="00393CF1">
        <w:rPr>
          <w:b/>
          <w:color w:val="000000"/>
          <w:sz w:val="28"/>
          <w:szCs w:val="28"/>
        </w:rPr>
        <w:t>», расположенного по адресу: город Новосибирск, у</w:t>
      </w:r>
      <w:r w:rsidR="004E623E">
        <w:rPr>
          <w:b/>
          <w:color w:val="000000"/>
          <w:sz w:val="28"/>
          <w:szCs w:val="28"/>
        </w:rPr>
        <w:t>л. Каменская, </w:t>
      </w:r>
      <w:r w:rsidRPr="00393CF1">
        <w:rPr>
          <w:b/>
          <w:color w:val="000000"/>
          <w:sz w:val="28"/>
          <w:szCs w:val="28"/>
        </w:rPr>
        <w:t>16.</w:t>
      </w:r>
    </w:p>
    <w:p w:rsidR="00393CF1" w:rsidRDefault="00393CF1" w:rsidP="00393CF1">
      <w:pPr>
        <w:jc w:val="center"/>
      </w:pPr>
    </w:p>
    <w:p w:rsidR="004E623E" w:rsidRDefault="004E623E" w:rsidP="00393CF1">
      <w:pPr>
        <w:jc w:val="center"/>
      </w:pPr>
    </w:p>
    <w:p w:rsidR="00393CF1" w:rsidRPr="00CB4511" w:rsidRDefault="00CB4511" w:rsidP="00CB4511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1. </w:t>
      </w:r>
      <w:r w:rsidR="00393CF1">
        <w:rPr>
          <w:rFonts w:eastAsia="Calibri"/>
          <w:sz w:val="28"/>
          <w:szCs w:val="28"/>
          <w:lang w:eastAsia="en-US"/>
        </w:rPr>
        <w:t xml:space="preserve">Режим использования земель и требования к </w:t>
      </w:r>
      <w:proofErr w:type="gramStart"/>
      <w:r w:rsidR="00393CF1">
        <w:rPr>
          <w:rFonts w:eastAsia="Calibri"/>
          <w:sz w:val="28"/>
          <w:szCs w:val="28"/>
          <w:lang w:eastAsia="en-US"/>
        </w:rPr>
        <w:t>градостроительным</w:t>
      </w:r>
      <w:proofErr w:type="gramEnd"/>
      <w:r w:rsidR="00393CF1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393CF1">
        <w:rPr>
          <w:rFonts w:eastAsia="Calibri"/>
          <w:sz w:val="28"/>
          <w:szCs w:val="28"/>
          <w:lang w:eastAsia="en-US"/>
        </w:rPr>
        <w:t>регламента</w:t>
      </w:r>
      <w:r w:rsidR="00ED321C">
        <w:rPr>
          <w:rFonts w:eastAsia="Calibri"/>
          <w:sz w:val="28"/>
          <w:szCs w:val="28"/>
          <w:lang w:eastAsia="en-US"/>
        </w:rPr>
        <w:t>м в границах охранной зоны ОЗ-</w:t>
      </w:r>
      <w:r w:rsidR="00393CF1">
        <w:rPr>
          <w:rFonts w:eastAsia="Calibri"/>
          <w:sz w:val="28"/>
          <w:szCs w:val="28"/>
          <w:lang w:eastAsia="en-US"/>
        </w:rPr>
        <w:t>6 объекта культурного наследия регионального значения «Дом жилой «</w:t>
      </w:r>
      <w:proofErr w:type="spellStart"/>
      <w:r w:rsidR="00393CF1">
        <w:rPr>
          <w:rFonts w:eastAsia="Calibri"/>
          <w:sz w:val="28"/>
          <w:szCs w:val="28"/>
          <w:lang w:eastAsia="en-US"/>
        </w:rPr>
        <w:t>Союззолото</w:t>
      </w:r>
      <w:proofErr w:type="spellEnd"/>
      <w:r w:rsidR="00393CF1">
        <w:rPr>
          <w:rFonts w:eastAsia="Calibri"/>
          <w:sz w:val="28"/>
          <w:szCs w:val="28"/>
          <w:lang w:eastAsia="en-US"/>
        </w:rPr>
        <w:t>», расположенного по адресу: город Новосибирск, ул. Каменская, 16 (далее – объект культурного наследия)</w:t>
      </w:r>
      <w:r>
        <w:rPr>
          <w:sz w:val="28"/>
          <w:szCs w:val="28"/>
        </w:rPr>
        <w:t xml:space="preserve">, в пределах координат характерных (поворотных) точек границы охранной зоны объекта культурного наследия </w:t>
      </w:r>
      <w:r w:rsidRPr="005E7A2C">
        <w:rPr>
          <w:sz w:val="28"/>
          <w:szCs w:val="28"/>
        </w:rPr>
        <w:t xml:space="preserve">1 – 2 – 3 – 4 – 5 – 6 – 7 – 8 – </w:t>
      </w:r>
      <w:r>
        <w:rPr>
          <w:sz w:val="28"/>
          <w:szCs w:val="28"/>
        </w:rPr>
        <w:t xml:space="preserve">9 </w:t>
      </w:r>
      <w:r>
        <w:rPr>
          <w:sz w:val="28"/>
          <w:szCs w:val="28"/>
        </w:rPr>
        <w:noBreakHyphen/>
        <w:t xml:space="preserve">10 </w:t>
      </w:r>
      <w:r>
        <w:rPr>
          <w:sz w:val="28"/>
          <w:szCs w:val="28"/>
        </w:rPr>
        <w:noBreakHyphen/>
        <w:t xml:space="preserve">11 – 12 </w:t>
      </w:r>
      <w:r>
        <w:rPr>
          <w:sz w:val="28"/>
          <w:szCs w:val="28"/>
        </w:rPr>
        <w:noBreakHyphen/>
        <w:t xml:space="preserve"> 1, согласно приложению № 1 к постановлению:</w:t>
      </w:r>
      <w:proofErr w:type="gramEnd"/>
    </w:p>
    <w:p w:rsidR="00393CF1" w:rsidRDefault="00393CF1" w:rsidP="00393C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sub_1091"/>
      <w:r>
        <w:rPr>
          <w:rFonts w:eastAsia="Calibri"/>
          <w:sz w:val="28"/>
          <w:szCs w:val="28"/>
          <w:lang w:eastAsia="en-US"/>
        </w:rPr>
        <w:t>1) запрещается строительство объектов капитального строительства, за исключением применения специальных мер, направленных на сохранение и восстановление (регенерацию) историко-градостроительной и (или) природной среды объекта культурного наследия, при следующих условиях:</w:t>
      </w:r>
    </w:p>
    <w:p w:rsidR="00393CF1" w:rsidRDefault="00393CF1" w:rsidP="00393C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восполнения характеристик историко-градостроительной среды объекта культурного наследия;</w:t>
      </w:r>
    </w:p>
    <w:p w:rsidR="00393CF1" w:rsidRDefault="00393CF1" w:rsidP="00393C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существующие кварталы не подлежат объединению;</w:t>
      </w:r>
    </w:p>
    <w:p w:rsidR="00393CF1" w:rsidRDefault="00393CF1" w:rsidP="00393C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организации общественных пространств внутри квартала.</w:t>
      </w:r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2" w:name="sub_1092"/>
      <w:bookmarkEnd w:id="1"/>
      <w:r>
        <w:rPr>
          <w:rFonts w:eastAsia="Calibri"/>
          <w:sz w:val="28"/>
          <w:szCs w:val="28"/>
          <w:lang w:eastAsia="en-US"/>
        </w:rPr>
        <w:t>2) допускается капитальный ремонт и реконструкция инженерных коммуникаций при условии отсутствия динамических воздействий на объект культурного наследия;</w:t>
      </w:r>
      <w:bookmarkStart w:id="3" w:name="sub_10"/>
    </w:p>
    <w:bookmarkEnd w:id="2"/>
    <w:bookmarkEnd w:id="3"/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3) допускается хозяйственная деятельность, необходимая для обеспечения сохранности и использования объекта культурного наследия:</w:t>
      </w:r>
    </w:p>
    <w:p w:rsidR="00393CF1" w:rsidRDefault="00393CF1" w:rsidP="00393C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установка объектов внешнего благоустройства, архитектурных форм, информационных знаков;</w:t>
      </w:r>
    </w:p>
    <w:p w:rsidR="00393CF1" w:rsidRDefault="00393CF1" w:rsidP="00393C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размещение автостоянок со двора объекта культурного наследия;</w:t>
      </w:r>
    </w:p>
    <w:p w:rsidR="00393CF1" w:rsidRDefault="00393CF1" w:rsidP="00393C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возведение временных строений и сооружений для проведения работ, направленных на сохранение объекта культурного наследия. </w:t>
      </w:r>
    </w:p>
    <w:p w:rsidR="00393CF1" w:rsidRDefault="00393CF1" w:rsidP="00393C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4) запрещается хозяйственная деятельность:</w:t>
      </w:r>
    </w:p>
    <w:p w:rsidR="00393CF1" w:rsidRDefault="00393CF1" w:rsidP="00393C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размещение технических устройств и инженерных коммуникаций на главных фасадах и кровлях объекта культурного наследия, за исключением требований техники безопасности предъявляемых к устройствам и инженерным коммуникациям;</w:t>
      </w:r>
    </w:p>
    <w:p w:rsidR="00393CF1" w:rsidRDefault="00393CF1" w:rsidP="00393C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установка объектов торговли, препятствующих визуальному восприятию объекта культурного наследия  и отдельных элементов его фасада;</w:t>
      </w:r>
    </w:p>
    <w:p w:rsidR="00393CF1" w:rsidRDefault="00393CF1" w:rsidP="00393C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размещение рекламных щитов, баннеров, вывесок, препятствующих визуальному восприятию объекта культурного наследия  и отдельных элементов его фасада;</w:t>
      </w:r>
      <w:bookmarkStart w:id="4" w:name="sub_1094"/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5" w:name="sub_1096"/>
      <w:bookmarkEnd w:id="4"/>
      <w:r>
        <w:rPr>
          <w:rFonts w:eastAsia="Calibri"/>
          <w:sz w:val="28"/>
          <w:szCs w:val="28"/>
          <w:lang w:eastAsia="en-US"/>
        </w:rPr>
        <w:t>5) соблюдение требований в области охраны окружающей среды, необходимых для обеспечения сохранности объекта культурного наследия в его историческом и ландшафтном окружении.</w:t>
      </w:r>
      <w:bookmarkEnd w:id="5"/>
    </w:p>
    <w:p w:rsidR="00393CF1" w:rsidRDefault="00393CF1" w:rsidP="00EA3464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6" w:name="sub_1010"/>
      <w:r>
        <w:rPr>
          <w:rFonts w:eastAsia="Calibri"/>
          <w:sz w:val="28"/>
          <w:szCs w:val="28"/>
          <w:lang w:eastAsia="en-US"/>
        </w:rPr>
        <w:t>2. Режим использования земель и требования к градостроительным регламентам в границах зон</w:t>
      </w:r>
      <w:r w:rsidR="00EA3464">
        <w:rPr>
          <w:rFonts w:eastAsia="Calibri"/>
          <w:sz w:val="28"/>
          <w:szCs w:val="28"/>
          <w:lang w:eastAsia="en-US"/>
        </w:rPr>
        <w:t>ы</w:t>
      </w:r>
      <w:r>
        <w:rPr>
          <w:rFonts w:eastAsia="Calibri"/>
          <w:sz w:val="28"/>
          <w:szCs w:val="28"/>
          <w:lang w:eastAsia="en-US"/>
        </w:rPr>
        <w:t xml:space="preserve"> регулирования застройки</w:t>
      </w:r>
      <w:r w:rsidR="00EA3464">
        <w:rPr>
          <w:rFonts w:eastAsia="Calibri"/>
          <w:sz w:val="28"/>
          <w:szCs w:val="28"/>
          <w:lang w:eastAsia="en-US"/>
        </w:rPr>
        <w:t xml:space="preserve"> и хозяйственной деятельности объекта культурного наследия № </w:t>
      </w:r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 xml:space="preserve"> 6-1 </w:t>
      </w:r>
      <w:r w:rsidR="00EA3464">
        <w:rPr>
          <w:sz w:val="28"/>
          <w:szCs w:val="28"/>
        </w:rPr>
        <w:t xml:space="preserve">в пределах координат характерных (поворотных) точек </w:t>
      </w:r>
      <w:r w:rsidR="00EA3464" w:rsidRPr="005E7A2C">
        <w:rPr>
          <w:sz w:val="28"/>
          <w:szCs w:val="28"/>
        </w:rPr>
        <w:t xml:space="preserve">1 – 2 – 3 – 4 – 5 – 6 – 7 – 8 – </w:t>
      </w:r>
      <w:r w:rsidR="00EA3464">
        <w:rPr>
          <w:sz w:val="28"/>
          <w:szCs w:val="28"/>
        </w:rPr>
        <w:t xml:space="preserve">9 </w:t>
      </w:r>
      <w:r w:rsidR="00EA3464">
        <w:rPr>
          <w:sz w:val="28"/>
          <w:szCs w:val="28"/>
        </w:rPr>
        <w:noBreakHyphen/>
        <w:t xml:space="preserve">10 </w:t>
      </w:r>
      <w:r w:rsidR="00EA3464">
        <w:rPr>
          <w:sz w:val="28"/>
          <w:szCs w:val="28"/>
        </w:rPr>
        <w:noBreakHyphen/>
        <w:t xml:space="preserve"> 1 </w:t>
      </w:r>
      <w:r>
        <w:rPr>
          <w:rFonts w:eastAsia="Calibri"/>
          <w:sz w:val="28"/>
          <w:szCs w:val="28"/>
          <w:lang w:eastAsia="en-US"/>
        </w:rPr>
        <w:t xml:space="preserve">и </w:t>
      </w:r>
      <w:r w:rsidR="00EA3464">
        <w:rPr>
          <w:rFonts w:eastAsia="Calibri"/>
          <w:sz w:val="28"/>
          <w:szCs w:val="28"/>
          <w:lang w:eastAsia="en-US"/>
        </w:rPr>
        <w:t>в границах зоны регулирования застройки и хозяйственной деятельности объекта культурного наследия № </w:t>
      </w:r>
      <w:r>
        <w:rPr>
          <w:rFonts w:eastAsia="Calibri"/>
          <w:sz w:val="28"/>
          <w:szCs w:val="28"/>
          <w:lang w:eastAsia="en-US"/>
        </w:rPr>
        <w:t>Р 6-2</w:t>
      </w:r>
      <w:r w:rsidR="00EA3464">
        <w:rPr>
          <w:rFonts w:eastAsia="Calibri"/>
          <w:sz w:val="28"/>
          <w:szCs w:val="28"/>
          <w:lang w:eastAsia="en-US"/>
        </w:rPr>
        <w:t xml:space="preserve"> </w:t>
      </w:r>
      <w:r w:rsidR="00EA3464">
        <w:rPr>
          <w:sz w:val="28"/>
          <w:szCs w:val="28"/>
        </w:rPr>
        <w:t xml:space="preserve">в пределах координат характерных (поворотных) точек </w:t>
      </w:r>
      <w:r w:rsidR="00EA3464" w:rsidRPr="005E7A2C">
        <w:rPr>
          <w:sz w:val="28"/>
          <w:szCs w:val="28"/>
        </w:rPr>
        <w:t xml:space="preserve">1 – 2 – 3 – 4 – 5 – 6 – 7 – 8 – </w:t>
      </w:r>
      <w:r w:rsidR="00EA3464">
        <w:rPr>
          <w:sz w:val="28"/>
          <w:szCs w:val="28"/>
        </w:rPr>
        <w:t xml:space="preserve">9 </w:t>
      </w:r>
      <w:r w:rsidR="00EA3464">
        <w:rPr>
          <w:sz w:val="28"/>
          <w:szCs w:val="28"/>
        </w:rPr>
        <w:noBreakHyphen/>
        <w:t xml:space="preserve">10 – 11 – 12 – 13 – 14 – 15 – 16 – 17 – 18 – 19 – 20 – 21 – 22 – 23 </w:t>
      </w:r>
      <w:r w:rsidR="00EA3464">
        <w:rPr>
          <w:sz w:val="28"/>
          <w:szCs w:val="28"/>
        </w:rPr>
        <w:noBreakHyphen/>
        <w:t xml:space="preserve"> 1</w:t>
      </w:r>
      <w:r w:rsidR="00EA3464">
        <w:rPr>
          <w:rFonts w:eastAsia="Calibri"/>
          <w:sz w:val="28"/>
          <w:szCs w:val="28"/>
          <w:lang w:eastAsia="en-US"/>
        </w:rPr>
        <w:t>, согласно приложению № 1 к постановлению</w:t>
      </w:r>
      <w:r>
        <w:rPr>
          <w:rFonts w:eastAsia="Calibri"/>
          <w:sz w:val="28"/>
          <w:szCs w:val="28"/>
          <w:lang w:eastAsia="en-US"/>
        </w:rPr>
        <w:t>:</w:t>
      </w:r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7" w:name="sub_101"/>
      <w:bookmarkEnd w:id="6"/>
      <w:r>
        <w:rPr>
          <w:rFonts w:eastAsia="Calibri"/>
          <w:sz w:val="28"/>
          <w:szCs w:val="28"/>
          <w:lang w:eastAsia="en-US"/>
        </w:rPr>
        <w:t xml:space="preserve">1) виды разрешенного использования земельных участков и объектов капитального строительства, предельные (минимальные и (или) максимальные) размеры земельных участков устанавливаются Правилами землепользования и </w:t>
      </w:r>
      <w:proofErr w:type="gramStart"/>
      <w:r>
        <w:rPr>
          <w:rFonts w:eastAsia="Calibri"/>
          <w:sz w:val="28"/>
          <w:szCs w:val="28"/>
          <w:lang w:eastAsia="en-US"/>
        </w:rPr>
        <w:t>застройки города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Новосибирска;</w:t>
      </w:r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 допускается строительство и реконструкция объектов капитального строительства и их частей со следующими ограничениями:</w:t>
      </w:r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отступ от границ территории объекта культурного наследия не менее 2,0 метра;</w:t>
      </w:r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с сохранением принципа формирования фронта застройки - </w:t>
      </w:r>
      <w:proofErr w:type="spellStart"/>
      <w:r>
        <w:rPr>
          <w:rFonts w:eastAsia="Calibri"/>
          <w:sz w:val="28"/>
          <w:szCs w:val="28"/>
          <w:lang w:eastAsia="en-US"/>
        </w:rPr>
        <w:t>периметральная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застройка с разрывами;</w:t>
      </w:r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применением отдельных современных фасадных и облицовочных материалов в отделке стен:</w:t>
      </w:r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кирпич, гладкая штукатурка, облицовочные фасадные плиты, отделочные материалы из стекла, за исключением </w:t>
      </w:r>
      <w:proofErr w:type="gramStart"/>
      <w:r>
        <w:rPr>
          <w:rFonts w:eastAsia="Calibri"/>
          <w:sz w:val="28"/>
          <w:szCs w:val="28"/>
          <w:lang w:eastAsia="en-US"/>
        </w:rPr>
        <w:t>архитектурного решения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дворовых фасадов;</w:t>
      </w:r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применением цветового решения, нейтрального по отношению к объекту культурного наследия (цвет из цветовой палитры отделки фасадов объекта культурного наследия);</w:t>
      </w:r>
    </w:p>
    <w:p w:rsidR="00393CF1" w:rsidRDefault="00393CF1" w:rsidP="00393C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8" w:name="sub_102"/>
      <w:bookmarkEnd w:id="7"/>
      <w:r>
        <w:rPr>
          <w:rFonts w:eastAsia="Calibri"/>
          <w:sz w:val="28"/>
          <w:szCs w:val="28"/>
          <w:lang w:eastAsia="en-US"/>
        </w:rPr>
        <w:t>с локальным изменением лицевых фасадов на уровне первых этажей (устройство витрин; устройство дверных проемов);</w:t>
      </w:r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9" w:name="sub_103"/>
      <w:bookmarkEnd w:id="8"/>
      <w:r>
        <w:rPr>
          <w:rFonts w:eastAsia="Calibri"/>
          <w:sz w:val="28"/>
          <w:szCs w:val="28"/>
          <w:lang w:eastAsia="en-US"/>
        </w:rPr>
        <w:t>3) обеспечение визуального восприятия объекта культурного наследия в его историко-градостроительной и природной среде:</w:t>
      </w:r>
    </w:p>
    <w:p w:rsidR="00393CF1" w:rsidRDefault="00393CF1" w:rsidP="00393C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запрещается: </w:t>
      </w:r>
    </w:p>
    <w:p w:rsidR="00393CF1" w:rsidRDefault="00393CF1" w:rsidP="00393CF1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размещение стационарных торговых объектов, объектов торговли (за исключением таковых объектов, размещенных на специально отведенных территориях);</w:t>
      </w:r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10" w:name="sub_104"/>
      <w:bookmarkEnd w:id="9"/>
      <w:r>
        <w:rPr>
          <w:rFonts w:eastAsia="Calibri"/>
          <w:sz w:val="28"/>
          <w:szCs w:val="28"/>
          <w:lang w:eastAsia="en-US"/>
        </w:rPr>
        <w:t>4) ограничение хозяйственной деятельности, необходимое для обеспечения сохранности объекта культурного наследия в его историко-градостроительной и природной среде:</w:t>
      </w:r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запрещается прокладка инженерных коммуникаций надземным способом;</w:t>
      </w:r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11" w:name="sub_106"/>
      <w:bookmarkEnd w:id="10"/>
      <w:r>
        <w:rPr>
          <w:rFonts w:eastAsia="Calibri"/>
          <w:sz w:val="28"/>
          <w:szCs w:val="28"/>
          <w:lang w:eastAsia="en-US"/>
        </w:rPr>
        <w:t>5) соблюдение требований в области охраны окружающей среды, необходимых для обеспечения сохранности объекта культурного наследия в его историческом и ландшафтном окружении;</w:t>
      </w:r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bookmarkStart w:id="12" w:name="sub_107"/>
      <w:bookmarkEnd w:id="11"/>
      <w:r>
        <w:rPr>
          <w:rFonts w:eastAsia="Calibri"/>
          <w:sz w:val="28"/>
          <w:szCs w:val="28"/>
          <w:lang w:eastAsia="en-US"/>
        </w:rPr>
        <w:t>6) иные требования, необходимые для обеспечения сохранности объекта культурного наследия в его историко-градостроительной и природной среде:</w:t>
      </w:r>
    </w:p>
    <w:bookmarkEnd w:id="12"/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благоустройство и озеленение территории осуществляется с учетом сохранения особенностей объекта культурного наследия, послуживших основанием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подлежащих обязательному сохранению, а также сохранения и восстановления градостроительных характеристик его историко-градостроительной и природной среды, в том числе:</w:t>
      </w:r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заменой покрытия пешеходных дорожек и тротуаров;</w:t>
      </w:r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устройством функционального освещения и ограждения территории в стилистике объекта культурного наследия или нейтрального по отношению к нему;</w:t>
      </w:r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устройством архитектурного освещения, направленного на создание выразительной визуальной среды объекта культурного наследия;</w:t>
      </w:r>
    </w:p>
    <w:p w:rsidR="00393CF1" w:rsidRDefault="00393CF1" w:rsidP="00393CF1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 размещением малых архитектурных форм (элементы монументально-декоративного оформления, устройства для оформления мобильного и вертикального озеленения, городская мебель, осветительное оборудование), нейтральных по отношению к объекту культурного наследия.</w:t>
      </w:r>
    </w:p>
    <w:p w:rsidR="00ED321C" w:rsidRDefault="00ED321C" w:rsidP="00ED321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E623E" w:rsidRDefault="004E623E" w:rsidP="004E623E">
      <w:pPr>
        <w:tabs>
          <w:tab w:val="left" w:pos="0"/>
        </w:tabs>
        <w:jc w:val="both"/>
        <w:rPr>
          <w:sz w:val="28"/>
          <w:szCs w:val="28"/>
        </w:rPr>
      </w:pPr>
    </w:p>
    <w:p w:rsidR="004E623E" w:rsidRPr="009D6B10" w:rsidRDefault="004E623E" w:rsidP="004E623E">
      <w:pPr>
        <w:tabs>
          <w:tab w:val="left" w:pos="0"/>
        </w:tabs>
        <w:jc w:val="both"/>
        <w:rPr>
          <w:sz w:val="28"/>
          <w:szCs w:val="28"/>
        </w:rPr>
      </w:pPr>
    </w:p>
    <w:p w:rsidR="004E623E" w:rsidRPr="00155FDB" w:rsidRDefault="004E623E" w:rsidP="004E623E">
      <w:pPr>
        <w:tabs>
          <w:tab w:val="left" w:pos="0"/>
        </w:tabs>
        <w:jc w:val="center"/>
      </w:pPr>
      <w:r w:rsidRPr="00155FDB">
        <w:rPr>
          <w:sz w:val="28"/>
          <w:szCs w:val="28"/>
        </w:rPr>
        <w:t>________</w:t>
      </w:r>
    </w:p>
    <w:p w:rsidR="00393CF1" w:rsidRDefault="00393CF1" w:rsidP="00ED321C">
      <w:pPr>
        <w:jc w:val="both"/>
      </w:pPr>
    </w:p>
    <w:sectPr w:rsidR="00393CF1" w:rsidSect="00225603">
      <w:headerReference w:type="default" r:id="rId7"/>
      <w:pgSz w:w="11906" w:h="16838"/>
      <w:pgMar w:top="1418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603" w:rsidRDefault="00225603" w:rsidP="00225603">
      <w:r>
        <w:separator/>
      </w:r>
    </w:p>
  </w:endnote>
  <w:endnote w:type="continuationSeparator" w:id="0">
    <w:p w:rsidR="00225603" w:rsidRDefault="00225603" w:rsidP="00225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603" w:rsidRDefault="00225603" w:rsidP="00225603">
      <w:r>
        <w:separator/>
      </w:r>
    </w:p>
  </w:footnote>
  <w:footnote w:type="continuationSeparator" w:id="0">
    <w:p w:rsidR="00225603" w:rsidRDefault="00225603" w:rsidP="00225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6481934"/>
      <w:docPartObj>
        <w:docPartGallery w:val="Page Numbers (Top of Page)"/>
        <w:docPartUnique/>
      </w:docPartObj>
    </w:sdtPr>
    <w:sdtEndPr/>
    <w:sdtContent>
      <w:p w:rsidR="00225603" w:rsidRDefault="00225603">
        <w:pPr>
          <w:pStyle w:val="a3"/>
          <w:jc w:val="center"/>
        </w:pPr>
        <w:r w:rsidRPr="00225603">
          <w:rPr>
            <w:sz w:val="20"/>
          </w:rPr>
          <w:fldChar w:fldCharType="begin"/>
        </w:r>
        <w:r w:rsidRPr="00225603">
          <w:rPr>
            <w:sz w:val="20"/>
          </w:rPr>
          <w:instrText>PAGE   \* MERGEFORMAT</w:instrText>
        </w:r>
        <w:r w:rsidRPr="00225603">
          <w:rPr>
            <w:sz w:val="20"/>
          </w:rPr>
          <w:fldChar w:fldCharType="separate"/>
        </w:r>
        <w:r w:rsidR="00CF5032">
          <w:rPr>
            <w:noProof/>
            <w:sz w:val="20"/>
          </w:rPr>
          <w:t>3</w:t>
        </w:r>
        <w:r w:rsidRPr="00225603">
          <w:rPr>
            <w:sz w:val="20"/>
          </w:rPr>
          <w:fldChar w:fldCharType="end"/>
        </w:r>
      </w:p>
    </w:sdtContent>
  </w:sdt>
  <w:p w:rsidR="00225603" w:rsidRDefault="002256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F1"/>
    <w:rsid w:val="00225603"/>
    <w:rsid w:val="00393CF1"/>
    <w:rsid w:val="004E623E"/>
    <w:rsid w:val="00574C77"/>
    <w:rsid w:val="008B1F56"/>
    <w:rsid w:val="00C9408D"/>
    <w:rsid w:val="00CB4511"/>
    <w:rsid w:val="00CF5032"/>
    <w:rsid w:val="00EA3464"/>
    <w:rsid w:val="00ED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C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256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5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25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560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C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3C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256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56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256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5603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ugookn</dc:creator>
  <cp:lastModifiedBy>Богомазова</cp:lastModifiedBy>
  <cp:revision>11</cp:revision>
  <dcterms:created xsi:type="dcterms:W3CDTF">2019-06-14T08:44:00Z</dcterms:created>
  <dcterms:modified xsi:type="dcterms:W3CDTF">2019-07-01T05:40:00Z</dcterms:modified>
</cp:coreProperties>
</file>