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70465"/>
                <wp:docPr id="1" name="Drawing 1" descr="FC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548640" cy="670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2.79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разделом IV Жилищного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
Законом Новосибирской области от 06.07.2018 № 271-ОЗ «Об управлении и распоряжении государственной собственностью Новосибирской области», постановлением Правительства Новосибирской области от 18.10.2010 № 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Постановлением Правительства Новосибирской области от 20.09.2021 № 374-п «Об установлении категорий граждан, которым предоставляются служебные жилые помещения специализированного жилищного фонда Новосибирской области, составляющие казну Новосибирской области, а также 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и определении порядка предоставления таких помещений»,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приказываю: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8"/>
          <w:szCs w:val="28"/>
          <w:lang w:val="en-US" w:eastAsia="ru-RU"/>
        </w:rPr>
        <w:t xml:space="preserve">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управления имуществом (Кадималиевой Н.С.) обеспечить предоставление государственной услуги в соответствии с Административным регламентом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Шилохвостов Роман Геннадьевич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физическим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государственному гражданскому служащему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 w:eastAsia="ru-RU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получения Услуги в многофункциональном центре предоставления государственных и муниципальных услуг не предусмотрена.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постановкой на учет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предоставлением служебного жилого помещения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заказным почтовым отправлением с уведомлением о вручении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календарных дней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 (далее – заявление)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постановкой на учет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иного государства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иного государства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предоставлением служебного жилого помещения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иного государства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имеющий свидетельство о рождении несовершеннолетнего члена семьи, выданное на территории иного государства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государственный гражданский служащий департамента имущества и земельных отношений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 при личном обращении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почтовым отправлением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электронной почты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20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департамента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членов семьи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иностранного гражданина (лица без гражданства)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наличие несовершеннолетних детей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рождении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документа, засвидетельствованная в нотариальном порядке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правоустанавливающие документы на объект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 должностного лица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свидетельство о заключении брака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дополнительные сведения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иной документ, подтверждающий отсутствие у заявителя и членов его семьи жилых помещений по договору социального найма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государственной регистрации актов гражданского состояния, содержащихся в ЕГР ЗАГС, составленных в отношении лица или каждого из его детей, не достигших совершеннолетия, в рамках работы сервиса на ЕПГУ/РПГУ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Октябрьского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Ленинского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Советского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Центрального округа по Железнодорожному, Заельцовскому и Центральному районам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Дзержинского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Кировского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Первомайского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Сведения, подтверждающие отсутствие у заявителя и членов его семьи жилого помещения, предоставленного по договору социального найма жилого помещения администрацией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Администрация Калининского района города Новосибирска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информационного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запроса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 момента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представленные документы содержат недостоверную информацию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у заявителя жилых помещений по месту прохождения государственной гражданской службы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полномочия лица на осуществление действий от имени заявителя не подтверждены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 на бумажном носителе или электронный документ, подписанный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/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Cs w:val="20"/>
        </w:rPr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>
        <w:rPr>
          <w:sz w:val="28"/>
          <w:szCs w:val="28"/>
        </w:rPr>
        <w:t xml:space="preserve">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следующих 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 представлены не в полном объеме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заказным почтовым отправлением с уведомлением о вручении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 даты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размещение информации на официальном сайте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официального сайта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Постановка на учет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служебного жилого помещения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Постановка на учет государственных гражданских служащих департамента имущества и земельных отношений Новосибирской области в качестве лиц, имеющих право на предоставление служебного жилого помещения специализированного жилищного фонда Новосибирской области, составляющего казну Новосибирской области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выдано свидетельство о рождении несовершеннолетнего члена семьи государственного гражданского служащего департамента (при наличии у заявителя детей)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служебного жилого помещения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Заявители, имеющие право в соответствии с действующим законодательством Российской Федерации и Новосибирской области, на предоставление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На территории какого государства выдано свидетельство о рождении несовершеннолетнего члена семьи государственного гражданского служащего департамента (при наличии у заявителя детей)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Имеющий свидетельство о рождении несовершеннолетнего члена семьи, выданное на территории Российской Федерации или не имеющий детей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Имеющий свидетельство о рождении несовершеннолетнего члена семьи, выданное на территории иного государства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Государственный гражданский служащий департамента имущества и земельных отношений Новосибирской области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Cs w:val="20"/>
          <w:lang w:val="en-US"/>
        </w:rPr>
      </w:r>
      <w:r>
        <w:rPr>
          <w:snapToGrid w:val="0"/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</w:p>
    <w:p>
      <w:pPr>
        <w:pStyle w:val="af6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8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0"/>
          <w:lang w:val="en-US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10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жилых помещений специализированного жилищного фонда Новосибирской области в составе казны Новосибирской области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опечаток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место совершения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Заявитель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данные документа, удостоверяющего личность (для физического лица)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lang w:val="en-US"/>
        </w:rPr>
      </w:r>
      <w:r>
        <w:rPr>
          <w:sz w:val="24"/>
          <w:szCs w:val="24"/>
          <w:lang w:val="en-US"/>
        </w:rPr>
      </w:r>
      <w:r>
        <w:rPr>
          <w:sz w:val="28"/>
          <w:szCs w:val="28"/>
          <w:lang w:val="en-US"/>
        </w:rPr>
      </w:r>
      <w:bookmarkStart w:id="0" w:name="_GoBack"/>
      <w:bookmarkEnd w:id="0"/>
    </w:p>
    <w:sectPr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B03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54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94CF-619E-4A8D-A940-80595B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283538</Characters>
  <CharactersWithSpaces>332616</CharactersWithSpaces>
  <Company>rtlabs.ru</Company>
  <DocSecurity>0</DocSecurity>
  <HyperlinksChanged>false</HyperlinksChanged>
  <Lines>2362</Lines>
  <LinksUpToDate>false</LinksUpToDate>
  <Pages>57</Pages>
  <Paragraphs>665</Paragraphs>
  <ScaleCrop>false</ScaleCrop>
  <SharedDoc>false</SharedDoc>
  <Template>Normal.dotm</Template>
  <TotalTime>2</TotalTime>
  <Words>49743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2024-06-10T13:24:00Z</dcterms:created>
  <dcterms:modified xsi:type="dcterms:W3CDTF">2024-06-10T14:34:00Z</dcterms:modified>
</cp:coreProperties>
</file>