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both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</w:r>
      <w:r>
        <w:rPr>
          <w:rFonts w:ascii="Courier New" w:hAnsi="Courier New" w:cs="Courier New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15"/>
        <w:gridCol w:w="408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2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72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2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приказу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                        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дравоохранения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2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2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«___» __________ №_______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Форма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объявления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проведении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конкурса</w:t>
      </w:r>
      <w: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среди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 предоставление субсидии из областного бюджета Новосибирской области,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для реализации мероприятий по профилактике ВИЧ-инфекции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гепатитов В и С 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году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инистерство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здравоохранения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объявляет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среди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предоставление субсидии из областного бюджета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реализации мероприятий по профилактике ВИЧ-инфекции и гепатитов В и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рамках государственной программы «Развитие здравоохранения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онкурс).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Сроки проведения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начало приема заявок на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участие в конкурсе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14.02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 в 09.00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окончани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приема заявок на участие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15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 в 17.00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период проведения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 с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21.03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29.03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 подведение итогов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онкурс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03.04.2024;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реализации мероприятий не позднее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25.12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Объем субсидии: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739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,0 руб.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три миллиона семьсот тридцать девять тысяч пятьсот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рублей 00 копеек.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Цель предоставления субсидии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финансовое обеспечение затрат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рганизации–победителя 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связанных с реализацией мероприятий по проведению профилактики инфекционных заболеваний (ВИЧ-инфекции, гепатитов В и С), предусматривающих проведение комплекса мероприятий и (или) действий, направленных на: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 профилактику ВИЧ-инфекции и ассоциированных с ней заболеваний среди групп населения повышенного риска;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 организацию выездных форм работы по информированию групп населения повышенного риска с целью мотивирования к прохождению добровольного медицинского освидетельствования для выявления ВИЧ-инфекции и гепатитов B и C;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 организацию деятельности «центров быстрого доступа» (шаговой доступности) по проведению экспресс-тестирования на ВИЧ-инфекцию и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консультирования по вопросам ВИЧ-инфекции;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 организацию и проведение школ для лиц с выявленными антителами к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вирусу иммунодефицита человека и гепатитов B и C;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 организацию семинаров-тренингов по современным подходам в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планировании и реализации программ противодействия ВИЧ-инфекции;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) социально-психологическое консультирование лиц с выявленными антителами к вирусу иммунодефицита человека и гепатитов B и C.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Результатом предоставления субсидии является достижение 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декабр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отчетного года 100% от значения количественного показателя исполнения мероприятия, направленного на повышение информационной осведомленности населения Новосибирской области по вопросам профилактики инфекционных заболеваний (ВИЧ-инфекции, гепатитов В и С)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проведения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категории и критерии отбора получател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, установлены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Порядком определения объема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Новосибирской области некоммерческ</w:t>
      </w:r>
      <w:r>
        <w:rPr>
          <w:rFonts w:ascii="Times New Roman" w:hAnsi="Times New Roman"/>
          <w:sz w:val="28"/>
          <w:szCs w:val="28"/>
          <w:lang w:eastAsia="ru-RU"/>
        </w:rPr>
        <w:t xml:space="preserve">им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/>
          <w:sz w:val="28"/>
          <w:szCs w:val="28"/>
          <w:lang w:eastAsia="ru-RU"/>
        </w:rPr>
        <w:t xml:space="preserve">, не являющ</w:t>
      </w:r>
      <w:r>
        <w:rPr>
          <w:rFonts w:ascii="Times New Roman" w:hAnsi="Times New Roman"/>
          <w:sz w:val="28"/>
          <w:szCs w:val="28"/>
          <w:lang w:eastAsia="ru-RU"/>
        </w:rPr>
        <w:t xml:space="preserve">им</w:t>
      </w:r>
      <w:r>
        <w:rPr>
          <w:rFonts w:ascii="Times New Roman" w:hAnsi="Times New Roman"/>
          <w:sz w:val="28"/>
          <w:szCs w:val="28"/>
          <w:lang w:eastAsia="ru-RU"/>
        </w:rPr>
        <w:t xml:space="preserve">ся государственным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 (муниципальным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) учреждени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, для реализации мероприятий по профилактике ВИЧ-инфекции и гепатитов В и С в рамках государственной программы «Развитие здравоохранения Новосибирской области», утвержденным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03.09.2018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372-п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 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орядок)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24"/>
        <w:ind w:right="-2"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участию в конкурсе допускаются 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рганизации при соблюдении ими следующих требований на первое число месяца, предшествующего месяцу, в котором планируется проведение конкурса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наличие регистрации в качестве юридического лица в установленном законодательством порядке и осуществление деятельности на территории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наличие ресурсного обеспечения реализации проекта, в том числе: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наличие опыта, необходимого для достижения результатов предоставления субсидии;</w:t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 наличие материально-технической базы, необходимой для достижения результатов предоставления субсидии;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 наличие кадрового состава, необходимого для достижения результатов предоставления субсидии;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 софинансирование проекта за счет собственных или привлеченных средств в объеме не менее 20% от запрашиваемой суммы;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) отсутствует</w:t>
      </w:r>
      <w:r>
        <w:rPr>
          <w:rFonts w:ascii="Times New Roman" w:hAnsi="Times New Roman"/>
          <w:bCs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 отсутствует просроченная задолженность по возврату в областной бюджет Новосибирской </w:t>
      </w:r>
      <w:r>
        <w:rPr>
          <w:rFonts w:ascii="Times New Roman" w:hAnsi="Times New Roman"/>
          <w:bCs/>
          <w:sz w:val="28"/>
          <w:szCs w:val="28"/>
        </w:rPr>
        <w:t xml:space="preserve">области субсидий, бюджетных инвестиций, предоставленных в том числе в соответствии с иными правовыми актами, </w:t>
      </w:r>
      <w:r>
        <w:rPr>
          <w:rFonts w:ascii="Times New Roman" w:hAnsi="Times New Roman"/>
          <w:sz w:val="28"/>
          <w:szCs w:val="28"/>
        </w:rPr>
        <w:t xml:space="preserve">а также иная просроченная (неурегулированная) задолженность по денежным обязательствам перед Новосибирской областью (за исключени</w:t>
      </w:r>
      <w:r>
        <w:rPr>
          <w:rFonts w:ascii="Times New Roman" w:hAnsi="Times New Roman"/>
          <w:sz w:val="28"/>
          <w:szCs w:val="28"/>
        </w:rPr>
        <w:t xml:space="preserve">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 возмещения затрат, связанных с поставкой товаров (выполнением работ, оказанием услуг)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 не находятся в процессе реорганизации (за исключением реорганизации в форме присоединения к</w:t>
      </w:r>
      <w:r>
        <w:rPr>
          <w:rFonts w:ascii="Times New Roman" w:hAnsi="Times New Roman"/>
          <w:bCs/>
          <w:sz w:val="28"/>
          <w:szCs w:val="28"/>
        </w:rPr>
        <w:t xml:space="preserve"> юридическому лицу, являющемуся участником конкурса, другого юридического лица), ликвидации, в отношении </w:t>
      </w:r>
      <w:r>
        <w:rPr>
          <w:rFonts w:ascii="Times New Roman" w:hAnsi="Times New Roman"/>
          <w:bCs/>
          <w:sz w:val="28"/>
          <w:szCs w:val="28"/>
        </w:rPr>
        <w:t xml:space="preserve">них</w:t>
      </w:r>
      <w:r>
        <w:rPr>
          <w:rFonts w:ascii="Times New Roman" w:hAnsi="Times New Roman"/>
          <w:bCs/>
          <w:sz w:val="28"/>
          <w:szCs w:val="28"/>
        </w:rPr>
        <w:t xml:space="preserve"> не введена процедура банкротства, деятельность получателя субсидии не приостановлена в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порядке, предусмотренном законодательством Российской Федерации;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 не являются иностранными юридическими ли</w:t>
      </w:r>
      <w:r>
        <w:rPr>
          <w:rFonts w:ascii="Times New Roman" w:hAnsi="Times New Roman"/>
          <w:bCs/>
          <w:sz w:val="28"/>
          <w:szCs w:val="28"/>
        </w:rPr>
        <w:t xml:space="preserve">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</w:t>
      </w:r>
      <w:r>
        <w:rPr>
          <w:rFonts w:ascii="Times New Roman" w:hAnsi="Times New Roman"/>
          <w:bCs/>
          <w:sz w:val="28"/>
          <w:szCs w:val="28"/>
        </w:rPr>
        <w:t xml:space="preserve">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 в реестре дисквалифицированных </w:t>
      </w:r>
      <w:r>
        <w:rPr>
          <w:rFonts w:ascii="Times New Roman" w:hAnsi="Times New Roman"/>
          <w:bCs/>
          <w:sz w:val="28"/>
          <w:szCs w:val="28"/>
        </w:rPr>
        <w:t xml:space="preserve">лиц отсутствуют</w:t>
      </w:r>
      <w:r>
        <w:rPr>
          <w:rFonts w:ascii="Times New Roman" w:hAnsi="Times New Roman"/>
          <w:bCs/>
          <w:sz w:val="28"/>
          <w:szCs w:val="28"/>
        </w:rPr>
        <w:t xml:space="preserve"> сведения о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>
        <w:rPr>
          <w:rFonts w:ascii="Times New Roman" w:hAnsi="Times New Roman"/>
          <w:bCs/>
          <w:sz w:val="28"/>
          <w:szCs w:val="28"/>
        </w:rPr>
        <w:t xml:space="preserve">бухгалтере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 не получают средства из областного бюджета Новосибирской области на основании иных нормативных правовых актов Новосибирской области на цели предоставления субсидий;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9) отсутствие деятельности и статуса в качестве политического общественного объединения (в том числе политической партии и политического движения), профессионального союза.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участия в конкурсе </w:t>
      </w: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рганизация подает конкурсную заявку</w:t>
      </w:r>
      <w:r>
        <w:rPr>
          <w:rFonts w:ascii="Times New Roman" w:hAnsi="Times New Roman"/>
          <w:bCs/>
          <w:sz w:val="28"/>
          <w:szCs w:val="28"/>
        </w:rPr>
        <w:t xml:space="preserve"> по форме согласно </w:t>
      </w:r>
      <w:r>
        <w:rPr>
          <w:rFonts w:ascii="Times New Roman" w:hAnsi="Times New Roman"/>
          <w:bCs/>
          <w:sz w:val="28"/>
          <w:szCs w:val="28"/>
        </w:rPr>
        <w:t xml:space="preserve">приложению № 1 </w:t>
      </w:r>
      <w:r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Порядку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случае, если информация, включенная в состав конкурсной заявки, содержит персональные данные, то в состав заявки включается согласие субъектов этих данных на их обработку в соответствии с Федеральным законом от 27.07.2006 № 152-ФЗ «О персональных данных».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25"/>
        <w:ind w:right="-2" w:firstLine="709"/>
        <w:shd w:val="clear" w:color="auto" w:fill="auto"/>
        <w:rPr>
          <w:b/>
        </w:rPr>
      </w:pPr>
      <w:r>
        <w:rPr>
          <w:b/>
          <w:color w:val="000000"/>
          <w:lang w:eastAsia="ru-RU" w:bidi="ru-RU"/>
        </w:rPr>
        <w:t xml:space="preserve">Конкурсная заявка включает в себя комплект документов:</w:t>
      </w:r>
      <w:r>
        <w:rPr>
          <w:b/>
        </w:rPr>
      </w:r>
      <w:r>
        <w:rPr>
          <w:b/>
        </w:rPr>
      </w:r>
    </w:p>
    <w:p>
      <w:pPr>
        <w:pStyle w:val="825"/>
        <w:ind w:right="-2" w:firstLine="709"/>
        <w:shd w:val="clear" w:color="auto" w:fill="auto"/>
        <w:tabs>
          <w:tab w:val="left" w:pos="709" w:leader="none"/>
        </w:tabs>
      </w:pPr>
      <w:r>
        <w:rPr>
          <w:bCs/>
        </w:rPr>
        <w:t xml:space="preserve">1) паспорт проекта </w:t>
      </w:r>
      <w:r>
        <w:rPr>
          <w:color w:val="000000"/>
          <w:lang w:eastAsia="ru-RU" w:bidi="ru-RU"/>
        </w:rPr>
        <w:t xml:space="preserve">с описанием планируемых мероприятий и указанием информации по </w:t>
      </w:r>
      <w:r>
        <w:rPr>
          <w:color w:val="000000"/>
          <w:lang w:eastAsia="ru-RU" w:bidi="ru-RU"/>
        </w:rPr>
        <w:t xml:space="preserve">каждому показателю критерия оценки участника</w:t>
      </w:r>
      <w:r>
        <w:rPr>
          <w:color w:val="000000"/>
          <w:lang w:eastAsia="ru-RU" w:bidi="ru-RU"/>
        </w:rPr>
        <w:t xml:space="preserve"> конкурса в</w:t>
      </w:r>
      <w:r>
        <w:rPr>
          <w:color w:val="000000"/>
          <w:lang w:eastAsia="ru-RU" w:bidi="ru-RU"/>
        </w:rPr>
        <w:t xml:space="preserve"> </w:t>
      </w:r>
      <w:r>
        <w:rPr>
          <w:color w:val="000000"/>
          <w:lang w:eastAsia="ru-RU" w:bidi="ru-RU"/>
        </w:rPr>
        <w:t xml:space="preserve">соответствии с </w:t>
      </w:r>
      <w:r>
        <w:rPr>
          <w:color w:val="000000"/>
          <w:lang w:eastAsia="ru-RU" w:bidi="ru-RU"/>
        </w:rPr>
        <w:t xml:space="preserve">пунктом 27</w:t>
      </w:r>
      <w:r>
        <w:rPr>
          <w:color w:val="000000"/>
          <w:lang w:eastAsia="ru-RU" w:bidi="ru-RU"/>
        </w:rPr>
        <w:t xml:space="preserve"> По</w:t>
      </w:r>
      <w:r>
        <w:rPr>
          <w:color w:val="000000"/>
          <w:lang w:eastAsia="ru-RU" w:bidi="ru-RU"/>
        </w:rPr>
        <w:t xml:space="preserve">рядка</w:t>
      </w:r>
      <w:r>
        <w:rPr>
          <w:color w:val="000000"/>
          <w:lang w:eastAsia="ru-RU" w:bidi="ru-RU"/>
        </w:rPr>
        <w:t xml:space="preserve">, составленн</w:t>
      </w:r>
      <w:r>
        <w:rPr>
          <w:color w:val="000000"/>
          <w:lang w:eastAsia="ru-RU" w:bidi="ru-RU"/>
        </w:rPr>
        <w:t xml:space="preserve">ый</w:t>
      </w:r>
      <w:r>
        <w:rPr>
          <w:color w:val="000000"/>
          <w:lang w:eastAsia="ru-RU" w:bidi="ru-RU"/>
        </w:rPr>
        <w:t xml:space="preserve"> в свободной форме, заверенн</w:t>
      </w:r>
      <w:r>
        <w:rPr>
          <w:color w:val="000000"/>
          <w:lang w:eastAsia="ru-RU" w:bidi="ru-RU"/>
        </w:rPr>
        <w:t xml:space="preserve">ый</w:t>
      </w:r>
      <w:r>
        <w:rPr>
          <w:color w:val="000000"/>
          <w:lang w:eastAsia="ru-RU" w:bidi="ru-RU"/>
        </w:rPr>
        <w:t xml:space="preserve"> подписью руководителя </w:t>
      </w:r>
      <w:r>
        <w:rPr>
          <w:color w:val="000000"/>
          <w:lang w:eastAsia="ru-RU" w:bidi="ru-RU"/>
        </w:rPr>
        <w:t xml:space="preserve">о</w:t>
      </w:r>
      <w:r>
        <w:rPr>
          <w:color w:val="000000"/>
          <w:lang w:eastAsia="ru-RU" w:bidi="ru-RU"/>
        </w:rPr>
        <w:t xml:space="preserve">рганизации</w:t>
      </w:r>
      <w:r>
        <w:rPr>
          <w:color w:val="000000"/>
          <w:lang w:eastAsia="ru-RU" w:bidi="ru-RU"/>
        </w:rPr>
        <w:t xml:space="preserve">,</w:t>
      </w:r>
      <w:r>
        <w:rPr>
          <w:color w:val="000000"/>
          <w:lang w:eastAsia="ru-RU" w:bidi="ru-RU"/>
        </w:rPr>
        <w:t xml:space="preserve"> с учетом требований согласно приложению </w:t>
      </w:r>
      <w:r>
        <w:rPr>
          <w:color w:val="000000"/>
          <w:lang w:eastAsia="ru-RU" w:bidi="ru-RU"/>
        </w:rPr>
        <w:t xml:space="preserve">№</w:t>
      </w:r>
      <w:r>
        <w:rPr>
          <w:color w:val="000000"/>
          <w:lang w:eastAsia="ru-RU" w:bidi="ru-RU"/>
        </w:rPr>
        <w:t xml:space="preserve"> </w:t>
      </w:r>
      <w:r>
        <w:rPr>
          <w:color w:val="000000"/>
          <w:lang w:eastAsia="ru-RU" w:bidi="ru-RU"/>
        </w:rPr>
        <w:t xml:space="preserve">2</w:t>
      </w:r>
      <w:r>
        <w:rPr>
          <w:color w:val="000000"/>
          <w:lang w:eastAsia="ru-RU" w:bidi="ru-RU"/>
        </w:rPr>
        <w:t xml:space="preserve"> к Порядку;</w:t>
      </w:r>
      <w:r/>
    </w:p>
    <w:p>
      <w:pPr>
        <w:pStyle w:val="767"/>
        <w:ind w:left="0" w:right="-2"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части подтверждения опыта работы в организации массовых мероприятий социальной направленности необходимо приложить копии ранее исполненных соглашений, контрактов, договоров, актов выполненных работ.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2) выписку из Единого государственного реестра юридических лиц</w:t>
      </w:r>
      <w:r>
        <w:rPr>
          <w:rFonts w:ascii="Times New Roman" w:hAnsi="Times New Roman"/>
          <w:bCs/>
          <w:strike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(предоставляется по собственной инициативе);</w:t>
      </w:r>
      <w:r>
        <w:rPr>
          <w:bCs/>
        </w:rPr>
      </w:r>
      <w:r>
        <w:rPr>
          <w:bCs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strike/>
        </w:rPr>
      </w:pPr>
      <w:r>
        <w:rPr>
          <w:rFonts w:ascii="Times New Roman" w:hAnsi="Times New Roman"/>
          <w:bCs/>
          <w:sz w:val="28"/>
          <w:szCs w:val="28"/>
        </w:rPr>
        <w:t xml:space="preserve">3) 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копию документа, подтверждающего полномочия лица на осуществление действий от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имени Организации на получение субсидии;</w:t>
      </w:r>
      <w:r>
        <w:rPr>
          <w:strike/>
        </w:rPr>
      </w:r>
      <w:r>
        <w:rPr>
          <w:strike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 смету расходов с расчетами и календарный план, подтверждающие поэтапную продолжительность реализации проекта в пределах года, в котором предоставляется субсидия, заверенные руководителем и главным бухгалтером Организации;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 документы, подтверждающие произведенные или планируемые </w:t>
      </w:r>
      <w:r>
        <w:rPr>
          <w:rFonts w:ascii="Times New Roman" w:hAnsi="Times New Roman"/>
          <w:bCs/>
          <w:sz w:val="28"/>
          <w:szCs w:val="28"/>
        </w:rPr>
        <w:t xml:space="preserve">в год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субсидии затраты на софинансирование проекта за счет собственных или привлеченных средств в объеме не менее 20% от запрашиваемой суммы, заверенные руководителем и главным бухгалтером Организации;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 справку налогового органа по состоянию </w:t>
      </w:r>
      <w:r>
        <w:rPr>
          <w:rFonts w:ascii="Times New Roman" w:hAnsi="Times New Roman"/>
          <w:bCs/>
          <w:sz w:val="28"/>
          <w:szCs w:val="28"/>
        </w:rPr>
        <w:t xml:space="preserve">на первое</w:t>
      </w:r>
      <w:r>
        <w:rPr>
          <w:rFonts w:ascii="Times New Roman" w:hAnsi="Times New Roman"/>
          <w:bCs/>
          <w:sz w:val="28"/>
          <w:szCs w:val="28"/>
        </w:rPr>
        <w:t xml:space="preserve"> число месяца, предшествующего дате подачи конкурсной заявки, об отсутствии у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 задолженности по уплате налогов, сборов, пеней, штрафов, процентов, подлежащих уплате в соответствии с законодательством Российской Федерации о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налогах и сборах (представляется по собственной инициативе);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7) подписанное </w:t>
      </w:r>
      <w:r>
        <w:rPr>
          <w:rFonts w:ascii="Times New Roman" w:hAnsi="Times New Roman"/>
          <w:sz w:val="28"/>
          <w:szCs w:val="28"/>
        </w:rPr>
        <w:t xml:space="preserve">согласие на публикацию (р</w:t>
      </w:r>
      <w:r>
        <w:rPr>
          <w:rFonts w:ascii="Times New Roman" w:hAnsi="Times New Roman"/>
          <w:sz w:val="28"/>
          <w:szCs w:val="28"/>
        </w:rPr>
        <w:t xml:space="preserve">азмещение) в информационно-телекоммуникационной сети «Интернет» информации об участнике конкурса, о подаваемой им заявке и предложении, а также иной информации об участнике конкурса, связанной с соответствующим конкурсом, составленное в произвольной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Организация праве подать только одну заявку для участия в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онкурсе.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Организация вправе изменить или отозвать конкурсную заявку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до истечения срока подачи конкурсных заявок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путем направления в Минздрав НСО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соответствующего заявления (обращения).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</w:r>
    </w:p>
    <w:p>
      <w:pPr>
        <w:pStyle w:val="722"/>
        <w:ind w:right="-2" w:firstLine="709"/>
        <w:jc w:val="both"/>
        <w:spacing w:after="0" w:line="240" w:lineRule="auto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конкурсную заявку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рганизации осуществляется на основании письменного заявления (обращения)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</w:t>
      </w:r>
      <w:r>
        <w:rPr>
          <w:rFonts w:ascii="Times New Roman" w:hAnsi="Times New Roman"/>
          <w:sz w:val="28"/>
          <w:szCs w:val="28"/>
        </w:rPr>
        <w:t xml:space="preserve">анизации, направляемого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 xml:space="preserve">Минздрава НСО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trike/>
          <w:sz w:val="28"/>
          <w:szCs w:val="28"/>
        </w:rPr>
      </w:r>
      <w:r>
        <w:rPr>
          <w:rFonts w:ascii="Times New Roman" w:hAnsi="Times New Roman"/>
          <w:strike/>
          <w:sz w:val="28"/>
          <w:szCs w:val="28"/>
        </w:rPr>
      </w:r>
    </w:p>
    <w:p>
      <w:pPr>
        <w:pStyle w:val="825"/>
        <w:ind w:right="-2" w:firstLine="709"/>
        <w:shd w:val="clear" w:color="auto" w:fill="auto"/>
      </w:pPr>
      <w:r>
        <w:rPr>
          <w:color w:val="000000"/>
          <w:lang w:eastAsia="ru-RU" w:bidi="ru-RU"/>
        </w:rPr>
        <w:t xml:space="preserve">Изменение конкурсной заявки или </w:t>
      </w:r>
      <w:r>
        <w:rPr>
          <w:color w:val="000000"/>
          <w:lang w:eastAsia="ru-RU" w:bidi="ru-RU"/>
        </w:rPr>
        <w:t xml:space="preserve">заявление (обращение) о ее отзыве является действительным, если заявление (обращение) об изменении или отзыве получено </w:t>
      </w:r>
      <w:r>
        <w:rPr>
          <w:color w:val="000000"/>
          <w:lang w:eastAsia="ru-RU" w:bidi="ru-RU"/>
        </w:rPr>
        <w:t xml:space="preserve">Минздравом НСО</w:t>
      </w:r>
      <w:r>
        <w:rPr>
          <w:color w:val="000000"/>
          <w:lang w:eastAsia="ru-RU" w:bidi="ru-RU"/>
        </w:rPr>
        <w:t xml:space="preserve"> до истечения срока подачи конкурсных заявок и</w:t>
      </w:r>
      <w:r>
        <w:rPr>
          <w:color w:val="000000"/>
          <w:lang w:eastAsia="ru-RU" w:bidi="ru-RU"/>
        </w:rPr>
        <w:t xml:space="preserve"> </w:t>
      </w:r>
      <w:r>
        <w:rPr>
          <w:color w:val="000000"/>
          <w:lang w:eastAsia="ru-RU" w:bidi="ru-RU"/>
        </w:rPr>
        <w:t xml:space="preserve">подписано уполномоченным </w:t>
      </w:r>
      <w:r>
        <w:rPr>
          <w:color w:val="000000"/>
          <w:lang w:eastAsia="ru-RU" w:bidi="ru-RU"/>
        </w:rPr>
        <w:t xml:space="preserve">на,</w:t>
      </w:r>
      <w:r>
        <w:rPr>
          <w:color w:val="000000"/>
          <w:lang w:eastAsia="ru-RU" w:bidi="ru-RU"/>
        </w:rPr>
        <w:t xml:space="preserve"> то лицом.</w:t>
      </w:r>
      <w:r/>
    </w:p>
    <w:p>
      <w:pPr>
        <w:pStyle w:val="722"/>
        <w:ind w:right="-2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Конкурсная заявка, поступившая после истечения срока подачи заявок, не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рассматривается и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возвращается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течение десяти рабочих дней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 момента получения почтовым отправлением по адресу, </w:t>
      </w:r>
      <w:r>
        <w:rPr>
          <w:rFonts w:ascii="Times New Roman" w:hAnsi="Times New Roman"/>
          <w:sz w:val="28"/>
          <w:szCs w:val="28"/>
        </w:rPr>
        <w:t xml:space="preserve">указанному в заявлении (обращении) заказным письмом с уведомлением о вручении,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либо передается</w:t>
      </w:r>
      <w:r>
        <w:rPr>
          <w:rFonts w:ascii="Times New Roman" w:hAnsi="Times New Roman"/>
          <w:sz w:val="28"/>
          <w:szCs w:val="28"/>
        </w:rPr>
        <w:t xml:space="preserve"> лично законному </w:t>
      </w:r>
      <w:r>
        <w:rPr>
          <w:rFonts w:ascii="Times New Roman" w:hAnsi="Times New Roman"/>
          <w:sz w:val="28"/>
          <w:szCs w:val="28"/>
        </w:rPr>
        <w:t xml:space="preserve">представителю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рганизации</w:t>
      </w:r>
      <w:r>
        <w:rPr>
          <w:rFonts w:ascii="Times New Roman" w:hAnsi="Times New Roman"/>
          <w:sz w:val="28"/>
          <w:szCs w:val="28"/>
        </w:rPr>
        <w:t xml:space="preserve"> по месту нахождения Министерства, указанному в объявлении о проведении</w:t>
      </w:r>
      <w:r>
        <w:rPr>
          <w:rFonts w:ascii="Times New Roman" w:hAnsi="Times New Roman"/>
          <w:sz w:val="28"/>
          <w:szCs w:val="28"/>
        </w:rPr>
        <w:t xml:space="preserve"> конкурса, ли</w:t>
      </w:r>
      <w:r>
        <w:rPr>
          <w:rFonts w:ascii="Times New Roman" w:hAnsi="Times New Roman"/>
          <w:sz w:val="28"/>
          <w:szCs w:val="28"/>
        </w:rPr>
        <w:t xml:space="preserve">бо направля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 электронном виде на электронный адрес, указанный в конкурсной заявке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представления документов участниками конкурса на бумажном носителе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представляемые документы должны быть прошиты в единый пакет документов, пронумерованы, скреплены печатью юридического лица (при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наличии) и удостоверены подписью руководителя юридического лица (за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исключением подлинников документов).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Комиссия в </w:t>
      </w:r>
      <w:r>
        <w:rPr>
          <w:rFonts w:ascii="Times New Roman" w:hAnsi="Times New Roman"/>
          <w:bCs/>
          <w:sz w:val="28"/>
          <w:szCs w:val="28"/>
        </w:rPr>
        <w:t xml:space="preserve">течение </w:t>
      </w:r>
      <w:r>
        <w:rPr>
          <w:rFonts w:ascii="Times New Roman" w:hAnsi="Times New Roman"/>
          <w:bCs/>
          <w:sz w:val="28"/>
          <w:szCs w:val="28"/>
        </w:rPr>
        <w:t xml:space="preserve">семи рабочих</w:t>
      </w:r>
      <w:r>
        <w:rPr>
          <w:rFonts w:ascii="Times New Roman" w:hAnsi="Times New Roman"/>
          <w:bCs/>
          <w:sz w:val="28"/>
          <w:szCs w:val="28"/>
        </w:rPr>
        <w:t xml:space="preserve"> дней со дня окончания срока приема конкурсных заявок проводит заседание, на котором: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 осуществляет проверку представленных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рганизациями документов на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предмет достоверности и соответствия требованиям, </w:t>
      </w:r>
      <w:r>
        <w:rPr>
          <w:rFonts w:ascii="Times New Roman" w:hAnsi="Times New Roman"/>
          <w:bCs/>
          <w:sz w:val="28"/>
          <w:szCs w:val="28"/>
        </w:rPr>
        <w:t xml:space="preserve">предусмотренным пунктами 16, 17, 18 </w:t>
      </w:r>
      <w:r>
        <w:rPr>
          <w:rFonts w:ascii="Times New Roman" w:hAnsi="Times New Roman"/>
          <w:bCs/>
          <w:sz w:val="28"/>
          <w:szCs w:val="28"/>
        </w:rPr>
        <w:t xml:space="preserve">Порядка;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 по результатам рассмотрения конкурсных заявок и прилагаемы</w:t>
      </w:r>
      <w:r>
        <w:rPr>
          <w:rFonts w:ascii="Times New Roman" w:hAnsi="Times New Roman"/>
          <w:bCs/>
          <w:sz w:val="28"/>
          <w:szCs w:val="28"/>
        </w:rPr>
        <w:t xml:space="preserve">х к ним документ</w:t>
      </w:r>
      <w:r>
        <w:rPr>
          <w:rFonts w:ascii="Times New Roman" w:hAnsi="Times New Roman"/>
          <w:bCs/>
          <w:sz w:val="28"/>
          <w:szCs w:val="28"/>
        </w:rPr>
        <w:t xml:space="preserve">ов принимает решение о соответствии (несоответствии)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 и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документов требованиям Порядка;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 в случае соответствия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 и представленных ей документов требованиям Порядка принимает решение о допуске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</w:t>
      </w:r>
      <w:r>
        <w:rPr>
          <w:rFonts w:ascii="Times New Roman" w:hAnsi="Times New Roman"/>
          <w:bCs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bCs/>
          <w:sz w:val="28"/>
          <w:szCs w:val="28"/>
        </w:rPr>
        <w:t xml:space="preserve">участию в конкурсе;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 в случае несоответствия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 и</w:t>
      </w:r>
      <w:r>
        <w:rPr>
          <w:rFonts w:ascii="Times New Roman" w:hAnsi="Times New Roman"/>
          <w:bCs/>
          <w:sz w:val="28"/>
          <w:szCs w:val="28"/>
        </w:rPr>
        <w:t xml:space="preserve"> (или) представленных ею документов требованиям Порядка принимает решение об отклонении конкурсных заявок и об отказе в участии в конкурсе;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 определяет победителя конкурса и </w:t>
      </w:r>
      <w:r>
        <w:rPr>
          <w:rFonts w:ascii="Times New Roman" w:hAnsi="Times New Roman"/>
          <w:bCs/>
          <w:sz w:val="28"/>
          <w:szCs w:val="28"/>
        </w:rPr>
        <w:t xml:space="preserve">принимае</w:t>
      </w:r>
      <w:r>
        <w:rPr>
          <w:rFonts w:ascii="Times New Roman" w:hAnsi="Times New Roman"/>
          <w:bCs/>
          <w:sz w:val="28"/>
          <w:szCs w:val="28"/>
        </w:rPr>
        <w:t xml:space="preserve">т</w:t>
      </w:r>
      <w:r>
        <w:rPr>
          <w:rFonts w:ascii="Times New Roman" w:hAnsi="Times New Roman"/>
          <w:bCs/>
          <w:sz w:val="28"/>
          <w:szCs w:val="28"/>
        </w:rPr>
        <w:t xml:space="preserve"> решение об определении победителя конкурса или его отсутствии.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течение срока приема конкурсных заявок </w:t>
      </w:r>
      <w:r>
        <w:rPr>
          <w:rFonts w:ascii="Times New Roman" w:hAnsi="Times New Roman"/>
          <w:bCs/>
          <w:sz w:val="28"/>
          <w:szCs w:val="28"/>
        </w:rPr>
        <w:t xml:space="preserve">Минздрав НСО</w:t>
      </w:r>
      <w:r>
        <w:rPr>
          <w:rFonts w:ascii="Times New Roman" w:hAnsi="Times New Roman"/>
          <w:bCs/>
          <w:sz w:val="28"/>
          <w:szCs w:val="28"/>
        </w:rPr>
        <w:t xml:space="preserve"> осуществляет консультирование участников конкурса по вопросам подготовки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конкурсных</w:t>
      </w:r>
      <w:r>
        <w:rPr>
          <w:rFonts w:ascii="Times New Roman" w:hAnsi="Times New Roman"/>
          <w:bCs/>
          <w:sz w:val="28"/>
          <w:szCs w:val="28"/>
        </w:rPr>
        <w:t xml:space="preserve"> заявок путем письменных ответов на обращения, по телефону и при личном обращении </w:t>
      </w:r>
      <w:r>
        <w:rPr>
          <w:rFonts w:ascii="Times New Roman" w:hAnsi="Times New Roman"/>
          <w:bCs/>
          <w:sz w:val="28"/>
          <w:szCs w:val="28"/>
        </w:rPr>
        <w:t xml:space="preserve">представителя 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рганизации.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Разъяснения положений объявления о приеме конкурсных заявок </w:t>
      </w:r>
      <w:r>
        <w:rPr>
          <w:rFonts w:ascii="Times New Roman" w:hAnsi="Times New Roman"/>
          <w:sz w:val="28"/>
          <w:szCs w:val="28"/>
        </w:rPr>
        <w:t xml:space="preserve">предоставляются организации</w:t>
      </w:r>
      <w:r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рабочих дней с момента поступления письменного обращения официальным письмом </w:t>
      </w:r>
      <w:r>
        <w:rPr>
          <w:rFonts w:ascii="Times New Roman" w:hAnsi="Times New Roman"/>
          <w:sz w:val="28"/>
          <w:szCs w:val="28"/>
        </w:rPr>
        <w:t xml:space="preserve">в Минздрав НСО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right="-2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Субсидия предоставляется на безвозмездной основе в пределах бюджетных ассигнований, предусмотренных в областном бюджете Новосибирской области на соответствующий финансовый год и плановый период, и лимитов бюджетных обязательств, доведенных до </w:t>
      </w:r>
      <w:r>
        <w:rPr>
          <w:rFonts w:ascii="Times New Roman" w:hAnsi="Times New Roman"/>
          <w:bCs/>
          <w:sz w:val="28"/>
          <w:szCs w:val="28"/>
        </w:rPr>
        <w:t xml:space="preserve">Минздрава НСО</w:t>
      </w:r>
      <w:r>
        <w:rPr>
          <w:rFonts w:ascii="Times New Roman" w:hAnsi="Times New Roman"/>
          <w:bCs/>
          <w:sz w:val="28"/>
          <w:szCs w:val="28"/>
        </w:rPr>
        <w:t xml:space="preserve"> как получателя средств областного бюджета Новосибирской области, на основании Соглашения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Минздрав НСО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заключает с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рганизацией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-победителем конкурса (далее – получатель субсидии)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Соглашение 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типовой формой, утвержденной приказом </w:t>
      </w:r>
      <w:r>
        <w:rPr>
          <w:rFonts w:ascii="Times New Roman" w:hAnsi="Times New Roman"/>
          <w:sz w:val="28"/>
          <w:szCs w:val="28"/>
        </w:rPr>
        <w:t xml:space="preserve">министерства финансов и налоговой политики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19.10.2017 № 57-НПА «Об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</w:t>
      </w:r>
      <w:r>
        <w:rPr>
          <w:rFonts w:ascii="Times New Roman" w:hAnsi="Times New Roman"/>
          <w:spacing w:val="-4"/>
          <w:sz w:val="28"/>
          <w:szCs w:val="28"/>
        </w:rPr>
        <w:t xml:space="preserve">государственными (муниципальными) учреждениями».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позднее 3 (трех) рабочих дней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z w:val="28"/>
          <w:szCs w:val="28"/>
        </w:rPr>
        <w:t xml:space="preserve">дня издания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риказа </w:t>
      </w:r>
      <w:r>
        <w:rPr>
          <w:rFonts w:ascii="Times New Roman" w:hAnsi="Times New Roman"/>
          <w:sz w:val="28"/>
          <w:szCs w:val="28"/>
        </w:rPr>
        <w:t xml:space="preserve">о результатах конкурса, Минздрав НСО</w:t>
      </w:r>
      <w:r>
        <w:rPr>
          <w:rFonts w:ascii="Times New Roman" w:hAnsi="Times New Roman"/>
          <w:sz w:val="28"/>
          <w:szCs w:val="28"/>
        </w:rPr>
        <w:t xml:space="preserve"> направляет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рганизации</w:t>
      </w:r>
      <w:r>
        <w:rPr>
          <w:rFonts w:ascii="Times New Roman" w:hAnsi="Times New Roman"/>
          <w:sz w:val="28"/>
          <w:szCs w:val="28"/>
        </w:rPr>
        <w:t xml:space="preserve">-победителю конкурса</w:t>
      </w:r>
      <w:r>
        <w:rPr>
          <w:rFonts w:ascii="Times New Roman" w:hAnsi="Times New Roman"/>
          <w:sz w:val="28"/>
          <w:szCs w:val="28"/>
        </w:rPr>
        <w:t xml:space="preserve"> подписанное со своей стороны Соглашение для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конкурса</w:t>
      </w:r>
      <w:r>
        <w:rPr>
          <w:rFonts w:ascii="Times New Roman" w:hAnsi="Times New Roman"/>
          <w:sz w:val="28"/>
          <w:szCs w:val="28"/>
        </w:rPr>
        <w:t xml:space="preserve"> возвращает </w:t>
      </w:r>
      <w:r>
        <w:rPr>
          <w:rFonts w:ascii="Times New Roman" w:hAnsi="Times New Roman"/>
          <w:sz w:val="28"/>
          <w:szCs w:val="28"/>
        </w:rPr>
        <w:t xml:space="preserve">Минздраву НСО</w:t>
      </w:r>
      <w:r>
        <w:rPr>
          <w:rFonts w:ascii="Times New Roman" w:hAnsi="Times New Roman"/>
          <w:sz w:val="28"/>
          <w:szCs w:val="28"/>
        </w:rPr>
        <w:t xml:space="preserve"> подписанное со своей стороны Соглашение </w:t>
      </w:r>
      <w:r>
        <w:rPr>
          <w:rFonts w:ascii="Times New Roman" w:hAnsi="Times New Roman"/>
          <w:sz w:val="28"/>
          <w:szCs w:val="28"/>
        </w:rPr>
        <w:t xml:space="preserve">не позднее 5 (пяти) рабочих дней</w:t>
      </w:r>
      <w:r>
        <w:rPr>
          <w:rFonts w:ascii="Times New Roman" w:hAnsi="Times New Roman"/>
          <w:sz w:val="28"/>
          <w:szCs w:val="28"/>
        </w:rPr>
        <w:t xml:space="preserve"> со дня его получения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Получатель субсидии признается уклонившимся от заключения Соглашения в случае игнорирования подписания Соглашения более 5 (пяти) рабочих дней.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случае получения </w:t>
      </w:r>
      <w:r>
        <w:rPr>
          <w:rFonts w:ascii="Times New Roman" w:hAnsi="Times New Roman"/>
          <w:sz w:val="28"/>
          <w:szCs w:val="28"/>
        </w:rPr>
        <w:t xml:space="preserve">Минздравом НСО</w:t>
      </w:r>
      <w:r>
        <w:rPr>
          <w:rFonts w:ascii="Times New Roman" w:hAnsi="Times New Roman"/>
          <w:sz w:val="28"/>
          <w:szCs w:val="28"/>
        </w:rPr>
        <w:t xml:space="preserve"> письменного отказа победителя конкурса под номером один от заключения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оглашения либо уклонения победителя конкурса от подписания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оглашения в </w:t>
      </w:r>
      <w:r>
        <w:rPr>
          <w:rFonts w:ascii="Times New Roman" w:hAnsi="Times New Roman"/>
          <w:sz w:val="28"/>
          <w:szCs w:val="28"/>
        </w:rPr>
        <w:t xml:space="preserve">течение 3 (трех) рабочих</w:t>
      </w:r>
      <w:r>
        <w:rPr>
          <w:rFonts w:ascii="Times New Roman" w:hAnsi="Times New Roman"/>
          <w:sz w:val="28"/>
          <w:szCs w:val="28"/>
        </w:rPr>
        <w:t xml:space="preserve"> дней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момента истечения срока для заключения Соглашения, установленного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fldChar w:fldCharType="begin"/>
      </w:r>
      <w:r>
        <w:instrText xml:space="preserve"> HYPERLINK "consultantplus://offline/ref=989CD1539818DCAA3ABE523E85A4B3F4F72C07D130181E063DFC6DF5421D48333A3C0065BE2DE5A5535C7C4D49B10F486ADCF53D3A367195B3CC444Bp0CFF"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42 </w:t>
      </w:r>
      <w:r>
        <w:rPr>
          <w:rFonts w:ascii="Times New Roman" w:hAnsi="Times New Roman"/>
          <w:sz w:val="28"/>
          <w:szCs w:val="28"/>
        </w:rPr>
        <w:t xml:space="preserve">Порядка, </w:t>
      </w:r>
      <w:r>
        <w:rPr>
          <w:rFonts w:ascii="Times New Roman" w:hAnsi="Times New Roman"/>
          <w:bCs/>
          <w:sz w:val="28"/>
          <w:szCs w:val="28"/>
        </w:rPr>
        <w:t xml:space="preserve">победитель конкурса теряет право на получение субсидии.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заключается с участником кон</w:t>
      </w:r>
      <w:r>
        <w:rPr>
          <w:rFonts w:ascii="Times New Roman" w:hAnsi="Times New Roman"/>
          <w:sz w:val="28"/>
          <w:szCs w:val="28"/>
        </w:rPr>
        <w:t xml:space="preserve">курса</w:t>
      </w:r>
      <w:r>
        <w:rPr>
          <w:rFonts w:ascii="Times New Roman" w:hAnsi="Times New Roman"/>
          <w:sz w:val="28"/>
          <w:szCs w:val="28"/>
        </w:rPr>
        <w:t xml:space="preserve">, имеющим следующий порядковый номер, идущ</w:t>
      </w:r>
      <w:r>
        <w:rPr>
          <w:rFonts w:ascii="Times New Roman" w:hAnsi="Times New Roman"/>
          <w:sz w:val="28"/>
          <w:szCs w:val="28"/>
        </w:rPr>
        <w:t xml:space="preserve">ий за</w:t>
      </w:r>
      <w:r>
        <w:rPr>
          <w:rFonts w:ascii="Times New Roman" w:hAnsi="Times New Roman"/>
          <w:sz w:val="28"/>
          <w:szCs w:val="28"/>
        </w:rPr>
        <w:t xml:space="preserve"> номером поб</w:t>
      </w:r>
      <w:r>
        <w:rPr>
          <w:rFonts w:ascii="Times New Roman" w:hAnsi="Times New Roman"/>
          <w:sz w:val="28"/>
          <w:szCs w:val="28"/>
        </w:rPr>
        <w:t xml:space="preserve">едителя</w:t>
      </w:r>
      <w:r>
        <w:rPr>
          <w:rFonts w:ascii="Times New Roman" w:hAnsi="Times New Roman"/>
          <w:sz w:val="28"/>
          <w:szCs w:val="28"/>
        </w:rPr>
        <w:t xml:space="preserve"> конкурса посл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процедуры проверки </w:t>
      </w:r>
      <w:r>
        <w:rPr>
          <w:rFonts w:ascii="Times New Roman" w:hAnsi="Times New Roman"/>
          <w:sz w:val="28"/>
          <w:szCs w:val="28"/>
        </w:rPr>
        <w:t xml:space="preserve">Минздравом НСО</w:t>
      </w:r>
      <w:r>
        <w:rPr>
          <w:rFonts w:ascii="Times New Roman" w:hAnsi="Times New Roman"/>
          <w:sz w:val="28"/>
          <w:szCs w:val="28"/>
        </w:rPr>
        <w:t xml:space="preserve"> участника конкурса, предусмотренной пунктам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34,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35 Порядка. </w:t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Минздрав НСО осуществляет прием и регистрацию конкурсных заявок, поданных на бумажном носителе лично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или полученных посредством почтовой связи, либо в форме электронных документов, подписанных электронной подписью в порядке, установленном законодательством Российской Федерации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630007, г.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Новосибирск, ул. Красный проспект,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д.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, каб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инет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42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отдел по взаимодействию с медицинскими, образовательными и общественными организациями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министерства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здравоохранения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Новосибирской области, с понедельника по четверг с 9-00 до 18-00, в пятницу с 9-00 до 17-00,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обеденный перерыв с 13-00 до 13-48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фициальный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сайт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Минздрава НСО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расположен по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адресу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 HYPERLINK "http://www.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zdrav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.nso.ru" 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fldChar w:fldCharType="separate"/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eastAsia="ru-RU"/>
        </w:rPr>
        <w:t xml:space="preserve">www.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val="en-US" w:eastAsia="ru-RU"/>
        </w:rPr>
        <w:t xml:space="preserve">zdrav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eastAsia="ru-RU"/>
        </w:rPr>
        <w:t xml:space="preserve">.nso.ru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(далее – официальный сайт Минздрава НСО), адрес электронной почты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Минздрава НСО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fldChar w:fldCharType="begin"/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HYPERLINK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 "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mailto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: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zdrav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@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nso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.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instrText xml:space="preserve">ru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fldChar w:fldCharType="separate"/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val="en-US" w:eastAsia="ru-RU"/>
        </w:rPr>
        <w:t xml:space="preserve">zdrav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eastAsia="ru-RU"/>
        </w:rPr>
        <w:t xml:space="preserve">@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val="en-US" w:eastAsia="ru-RU"/>
        </w:rPr>
        <w:t xml:space="preserve">nso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eastAsia="ru-RU"/>
        </w:rPr>
        <w:t xml:space="preserve">.</w:t>
      </w:r>
      <w:r>
        <w:rPr>
          <w:rStyle w:val="733"/>
          <w:rFonts w:ascii="Times New Roman" w:hAnsi="Times New Roman" w:eastAsia="Times New Roman"/>
          <w:b/>
          <w:color w:val="000000"/>
          <w:sz w:val="28"/>
          <w:szCs w:val="28"/>
          <w:u w:val="none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Объявление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проведении конкурса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и результат конкурса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размещается на официальном сайте Минздрава НСО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разделе «Конкурсы»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на едином портале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Телефон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для консультаций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8 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383)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238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62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39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Информация о результатах конкурса размещается на официальном сайте Минздраве НСО и на едином портале не позднее 14-го календарного дня, следующего за днем определения победителя конкурса.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22"/>
        <w:ind w:firstLine="709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fldChar w:fldCharType="begin"/>
    </w:r>
    <w:r>
      <w:rPr>
        <w:rFonts w:ascii="Times New Roman" w:hAnsi="Times New Roman"/>
        <w:rPrChange w:id="0" w:author="Бартель Екатерина Игоревна" w:date="2023-01-11T13:20:00Z">
          <w:rPr/>
        </w:rPrChange>
      </w:rPr>
      <w:instrText xml:space="preserve">PAGE   \* MERGEFORMAT</w:instrText>
    </w:r>
    <w:r>
      <w:fldChar w:fldCharType="separate"/>
    </w:r>
    <w:r>
      <w:rPr>
        <w:rFonts w:ascii="Times New Roman" w:hAnsi="Times New Roman"/>
      </w:rPr>
      <w:t xml:space="preserve">2</w:t>
    </w:r>
    <w:r>
      <w:fldChar w:fldCharType="end"/>
    </w:r>
    <w:r/>
  </w:p>
  <w:p>
    <w:pPr>
      <w:pStyle w:val="73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2"/>
    <w:next w:val="7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2"/>
    <w:next w:val="7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2"/>
    <w:next w:val="7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2"/>
    <w:next w:val="7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2"/>
    <w:next w:val="7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2"/>
    <w:next w:val="7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2"/>
    <w:next w:val="7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2"/>
    <w:next w:val="7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2"/>
    <w:next w:val="7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next w:val="722"/>
    <w:link w:val="7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3">
    <w:name w:val="Заголовок 1"/>
    <w:basedOn w:val="722"/>
    <w:next w:val="722"/>
    <w:link w:val="738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24">
    <w:name w:val="Заголовок 2"/>
    <w:basedOn w:val="722"/>
    <w:next w:val="722"/>
    <w:link w:val="739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25">
    <w:name w:val="Заголовок 3"/>
    <w:basedOn w:val="722"/>
    <w:next w:val="722"/>
    <w:link w:val="740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26">
    <w:name w:val="Заголовок 5"/>
    <w:basedOn w:val="722"/>
    <w:next w:val="722"/>
    <w:link w:val="776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27">
    <w:name w:val="Основной шрифт абзаца"/>
    <w:next w:val="727"/>
    <w:link w:val="722"/>
    <w:uiPriority w:val="1"/>
    <w:unhideWhenUsed/>
  </w:style>
  <w:style w:type="table" w:styleId="728">
    <w:name w:val="Обычная таблица"/>
    <w:next w:val="728"/>
    <w:link w:val="722"/>
    <w:uiPriority w:val="99"/>
    <w:semiHidden/>
    <w:unhideWhenUsed/>
    <w:tblPr/>
  </w:style>
  <w:style w:type="numbering" w:styleId="729">
    <w:name w:val="Нет списка"/>
    <w:next w:val="729"/>
    <w:link w:val="722"/>
    <w:uiPriority w:val="99"/>
    <w:semiHidden/>
    <w:unhideWhenUsed/>
  </w:style>
  <w:style w:type="paragraph" w:styleId="730">
    <w:name w:val="ConsPlusCell"/>
    <w:next w:val="730"/>
    <w:link w:val="722"/>
    <w:rPr>
      <w:rFonts w:ascii="Arial" w:hAnsi="Arial" w:eastAsia="Times New Roman" w:cs="Arial"/>
      <w:lang w:val="ru-RU" w:eastAsia="ru-RU" w:bidi="ar-SA"/>
    </w:rPr>
  </w:style>
  <w:style w:type="paragraph" w:styleId="731">
    <w:name w:val="ConsPlusNonformat"/>
    <w:next w:val="731"/>
    <w:link w:val="722"/>
    <w:rPr>
      <w:rFonts w:ascii="Courier New" w:hAnsi="Courier New" w:eastAsia="Times New Roman" w:cs="Courier New"/>
      <w:lang w:val="ru-RU" w:eastAsia="ru-RU" w:bidi="ar-SA"/>
    </w:rPr>
  </w:style>
  <w:style w:type="table" w:styleId="732">
    <w:name w:val="Сетка таблицы"/>
    <w:basedOn w:val="728"/>
    <w:next w:val="732"/>
    <w:link w:val="722"/>
    <w:uiPriority w:val="59"/>
    <w:tblPr/>
  </w:style>
  <w:style w:type="character" w:styleId="733">
    <w:name w:val="Гиперссылка"/>
    <w:next w:val="733"/>
    <w:link w:val="722"/>
    <w:uiPriority w:val="99"/>
    <w:unhideWhenUsed/>
    <w:rPr>
      <w:color w:val="0000ff"/>
      <w:u w:val="single"/>
    </w:rPr>
  </w:style>
  <w:style w:type="paragraph" w:styleId="734">
    <w:name w:val="Верхний колонтитул"/>
    <w:basedOn w:val="722"/>
    <w:next w:val="734"/>
    <w:link w:val="73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35">
    <w:name w:val="Верхний колонтитул Знак"/>
    <w:next w:val="735"/>
    <w:link w:val="734"/>
    <w:uiPriority w:val="99"/>
    <w:rPr>
      <w:sz w:val="24"/>
      <w:szCs w:val="24"/>
      <w:lang w:val="ru-RU" w:eastAsia="ru-RU" w:bidi="ar-SA"/>
    </w:rPr>
  </w:style>
  <w:style w:type="character" w:styleId="736">
    <w:name w:val="Номер страницы"/>
    <w:basedOn w:val="727"/>
    <w:next w:val="736"/>
    <w:link w:val="722"/>
  </w:style>
  <w:style w:type="paragraph" w:styleId="737">
    <w:name w:val="ConsPlusNormal"/>
    <w:next w:val="737"/>
    <w:link w:val="72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38">
    <w:name w:val="Заголовок 1 Знак"/>
    <w:next w:val="738"/>
    <w:link w:val="723"/>
    <w:rPr>
      <w:b/>
      <w:bCs/>
      <w:sz w:val="24"/>
      <w:szCs w:val="24"/>
      <w:lang w:val="ru-RU" w:eastAsia="ru-RU" w:bidi="ar-SA"/>
    </w:rPr>
  </w:style>
  <w:style w:type="character" w:styleId="739">
    <w:name w:val="Заголовок 2 Знак"/>
    <w:next w:val="739"/>
    <w:link w:val="724"/>
    <w:rPr>
      <w:sz w:val="28"/>
      <w:szCs w:val="28"/>
      <w:lang w:val="ru-RU" w:eastAsia="ru-RU" w:bidi="ar-SA"/>
    </w:rPr>
  </w:style>
  <w:style w:type="character" w:styleId="740">
    <w:name w:val="Заголовок 3 Знак"/>
    <w:next w:val="740"/>
    <w:link w:val="725"/>
    <w:rPr>
      <w:sz w:val="36"/>
      <w:szCs w:val="36"/>
      <w:lang w:val="ru-RU" w:eastAsia="ru-RU" w:bidi="ar-SA"/>
    </w:rPr>
  </w:style>
  <w:style w:type="paragraph" w:styleId="741">
    <w:name w:val="Стандартный HTML"/>
    <w:basedOn w:val="722"/>
    <w:next w:val="741"/>
    <w:link w:val="742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42">
    <w:name w:val="Стандартный HTML Знак"/>
    <w:next w:val="742"/>
    <w:link w:val="741"/>
    <w:rPr>
      <w:rFonts w:ascii="Courier New" w:hAnsi="Courier New" w:cs="Courier New"/>
      <w:lang w:val="ru-RU" w:eastAsia="ru-RU" w:bidi="ar-SA"/>
    </w:rPr>
  </w:style>
  <w:style w:type="paragraph" w:styleId="743">
    <w:name w:val="Основной текст с отступом 3"/>
    <w:basedOn w:val="722"/>
    <w:next w:val="743"/>
    <w:link w:val="744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44">
    <w:name w:val="Основной текст с отступом 3 Знак"/>
    <w:next w:val="744"/>
    <w:link w:val="743"/>
    <w:rPr>
      <w:sz w:val="28"/>
      <w:lang w:val="ru-RU" w:eastAsia="ru-RU" w:bidi="ar-SA"/>
    </w:rPr>
  </w:style>
  <w:style w:type="paragraph" w:styleId="745">
    <w:name w:val="Основной текст 3"/>
    <w:basedOn w:val="722"/>
    <w:next w:val="745"/>
    <w:link w:val="746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46">
    <w:name w:val="Основной текст 3 Знак"/>
    <w:next w:val="746"/>
    <w:link w:val="745"/>
    <w:rPr>
      <w:sz w:val="28"/>
      <w:lang w:val="ru-RU" w:eastAsia="ru-RU" w:bidi="ar-SA"/>
    </w:rPr>
  </w:style>
  <w:style w:type="character" w:styleId="747">
    <w:name w:val=" Знак Знак9"/>
    <w:next w:val="747"/>
    <w:link w:val="722"/>
    <w:rPr>
      <w:rFonts w:ascii="Times New Roman" w:hAnsi="Times New Roman" w:eastAsia="Times New Roman"/>
      <w:sz w:val="24"/>
      <w:szCs w:val="24"/>
    </w:rPr>
  </w:style>
  <w:style w:type="paragraph" w:styleId="748">
    <w:name w:val="Нижний колонтитул"/>
    <w:basedOn w:val="722"/>
    <w:next w:val="748"/>
    <w:link w:val="77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49">
    <w:name w:val="Схема документа"/>
    <w:basedOn w:val="722"/>
    <w:next w:val="749"/>
    <w:link w:val="750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50">
    <w:name w:val="Схема документа Знак"/>
    <w:next w:val="750"/>
    <w:link w:val="749"/>
    <w:semiHidden/>
    <w:rPr>
      <w:rFonts w:ascii="Tahoma" w:hAnsi="Tahoma" w:cs="Tahoma"/>
      <w:lang w:val="ru-RU" w:eastAsia="ru-RU" w:bidi="ar-SA"/>
    </w:rPr>
  </w:style>
  <w:style w:type="paragraph" w:styleId="751">
    <w:name w:val="ConsPlusTitle"/>
    <w:next w:val="751"/>
    <w:link w:val="722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52">
    <w:name w:val="Основной текст"/>
    <w:basedOn w:val="722"/>
    <w:next w:val="752"/>
    <w:link w:val="753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53">
    <w:name w:val="Основной текст Знак"/>
    <w:next w:val="753"/>
    <w:link w:val="752"/>
    <w:rPr>
      <w:sz w:val="28"/>
      <w:szCs w:val="24"/>
      <w:lang w:val="ru-RU" w:eastAsia="ru-RU" w:bidi="ar-SA"/>
    </w:rPr>
  </w:style>
  <w:style w:type="paragraph" w:styleId="754">
    <w:name w:val="Текст выноски"/>
    <w:basedOn w:val="722"/>
    <w:next w:val="754"/>
    <w:link w:val="755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55">
    <w:name w:val="Текст выноски Знак"/>
    <w:next w:val="755"/>
    <w:link w:val="754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56">
    <w:name w:val="заголовок 1"/>
    <w:basedOn w:val="722"/>
    <w:next w:val="722"/>
    <w:link w:val="722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57">
    <w:name w:val="заголовок 4"/>
    <w:basedOn w:val="722"/>
    <w:next w:val="722"/>
    <w:link w:val="722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58">
    <w:name w:val="Основной шрифт"/>
    <w:next w:val="758"/>
    <w:link w:val="722"/>
  </w:style>
  <w:style w:type="paragraph" w:styleId="759">
    <w:name w:val="Eiio"/>
    <w:basedOn w:val="722"/>
    <w:next w:val="759"/>
    <w:link w:val="722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60">
    <w:name w:val="Заголовок,Название"/>
    <w:basedOn w:val="722"/>
    <w:next w:val="760"/>
    <w:link w:val="761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61">
    <w:name w:val="Название Знак"/>
    <w:next w:val="761"/>
    <w:link w:val="760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62">
    <w:name w:val="Основной текст 2"/>
    <w:basedOn w:val="722"/>
    <w:next w:val="762"/>
    <w:link w:val="763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63">
    <w:name w:val="Основной текст 2 Знак"/>
    <w:next w:val="763"/>
    <w:link w:val="762"/>
    <w:rPr>
      <w:sz w:val="28"/>
      <w:szCs w:val="28"/>
      <w:lang w:val="ru-RU" w:eastAsia="ru-RU" w:bidi="ar-SA"/>
    </w:rPr>
  </w:style>
  <w:style w:type="character" w:styleId="764">
    <w:name w:val="номер страницы"/>
    <w:next w:val="764"/>
    <w:link w:val="722"/>
    <w:rPr>
      <w:rFonts w:cs="Times New Roman"/>
    </w:rPr>
  </w:style>
  <w:style w:type="paragraph" w:styleId="765">
    <w:name w:val="Основной текст с отступом 2"/>
    <w:basedOn w:val="722"/>
    <w:next w:val="765"/>
    <w:link w:val="766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66">
    <w:name w:val="Основной текст с отступом 2 Знак"/>
    <w:next w:val="766"/>
    <w:link w:val="765"/>
    <w:rPr>
      <w:sz w:val="28"/>
      <w:szCs w:val="28"/>
      <w:lang w:val="ru-RU" w:eastAsia="ru-RU" w:bidi="ar-SA"/>
    </w:rPr>
  </w:style>
  <w:style w:type="paragraph" w:styleId="767">
    <w:name w:val="Абзац списка"/>
    <w:basedOn w:val="722"/>
    <w:next w:val="767"/>
    <w:link w:val="722"/>
    <w:uiPriority w:val="34"/>
    <w:qFormat/>
    <w:pPr>
      <w:contextualSpacing/>
      <w:ind w:left="720"/>
    </w:pPr>
    <w:rPr>
      <w:rFonts w:eastAsia="Times New Roman"/>
    </w:rPr>
  </w:style>
  <w:style w:type="character" w:styleId="768">
    <w:name w:val="Знак примечания"/>
    <w:next w:val="768"/>
    <w:link w:val="722"/>
    <w:rPr>
      <w:rFonts w:cs="Times New Roman"/>
      <w:sz w:val="16"/>
      <w:szCs w:val="16"/>
    </w:rPr>
  </w:style>
  <w:style w:type="paragraph" w:styleId="769">
    <w:name w:val="Текст примечания"/>
    <w:basedOn w:val="722"/>
    <w:next w:val="769"/>
    <w:link w:val="770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70">
    <w:name w:val="Текст примечания Знак"/>
    <w:next w:val="770"/>
    <w:link w:val="769"/>
    <w:rPr>
      <w:lang w:val="ru-RU" w:eastAsia="ru-RU" w:bidi="ar-SA"/>
    </w:rPr>
  </w:style>
  <w:style w:type="paragraph" w:styleId="771">
    <w:name w:val="Тема примечания"/>
    <w:basedOn w:val="769"/>
    <w:next w:val="769"/>
    <w:link w:val="772"/>
    <w:rPr>
      <w:b/>
      <w:bCs/>
    </w:rPr>
  </w:style>
  <w:style w:type="character" w:styleId="772">
    <w:name w:val="Тема примечания Знак"/>
    <w:next w:val="772"/>
    <w:link w:val="771"/>
    <w:rPr>
      <w:b/>
      <w:bCs/>
      <w:lang w:val="ru-RU" w:eastAsia="ru-RU" w:bidi="ar-SA"/>
    </w:rPr>
  </w:style>
  <w:style w:type="paragraph" w:styleId="773">
    <w:name w:val="Обычный (веб)"/>
    <w:basedOn w:val="722"/>
    <w:next w:val="773"/>
    <w:link w:val="72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74">
    <w:name w:val="Нижний колонтитул Знак"/>
    <w:next w:val="774"/>
    <w:link w:val="748"/>
    <w:uiPriority w:val="99"/>
    <w:rPr>
      <w:rFonts w:ascii="Times New Roman" w:hAnsi="Times New Roman" w:eastAsia="Times New Roman"/>
      <w:sz w:val="24"/>
      <w:szCs w:val="24"/>
    </w:rPr>
  </w:style>
  <w:style w:type="paragraph" w:styleId="775">
    <w:name w:val="List Paragraph"/>
    <w:basedOn w:val="722"/>
    <w:next w:val="775"/>
    <w:link w:val="722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76">
    <w:name w:val="Заголовок 5 Знак"/>
    <w:next w:val="776"/>
    <w:link w:val="726"/>
    <w:rPr>
      <w:rFonts w:ascii="Times New Roman" w:hAnsi="Times New Roman" w:eastAsia="Arial Unicode MS"/>
      <w:sz w:val="28"/>
      <w:szCs w:val="24"/>
    </w:rPr>
  </w:style>
  <w:style w:type="numbering" w:styleId="777">
    <w:name w:val="Нет списка1"/>
    <w:next w:val="729"/>
    <w:link w:val="722"/>
    <w:uiPriority w:val="99"/>
    <w:semiHidden/>
    <w:unhideWhenUsed/>
  </w:style>
  <w:style w:type="paragraph" w:styleId="778">
    <w:name w:val="Название объекта"/>
    <w:basedOn w:val="722"/>
    <w:next w:val="722"/>
    <w:link w:val="722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79">
    <w:name w:val="Сетка таблицы1"/>
    <w:basedOn w:val="728"/>
    <w:next w:val="732"/>
    <w:link w:val="722"/>
    <w:rPr>
      <w:rFonts w:ascii="Times New Roman" w:hAnsi="Times New Roman" w:eastAsia="Times New Roman"/>
    </w:rPr>
    <w:tblPr/>
  </w:style>
  <w:style w:type="paragraph" w:styleId="780">
    <w:name w:val="Абзац списка1"/>
    <w:basedOn w:val="722"/>
    <w:next w:val="780"/>
    <w:link w:val="722"/>
    <w:pPr>
      <w:contextualSpacing/>
      <w:ind w:left="720"/>
    </w:pPr>
    <w:rPr>
      <w:rFonts w:eastAsia="Times New Roman"/>
      <w:lang w:eastAsia="ru-RU"/>
    </w:rPr>
  </w:style>
  <w:style w:type="character" w:styleId="781">
    <w:name w:val="Основной текст_"/>
    <w:next w:val="781"/>
    <w:link w:val="784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82">
    <w:name w:val="Основной текст (2)_"/>
    <w:next w:val="782"/>
    <w:link w:val="785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83">
    <w:name w:val="Заголовок №1_"/>
    <w:next w:val="783"/>
    <w:link w:val="786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84">
    <w:name w:val="Основной текст3"/>
    <w:basedOn w:val="722"/>
    <w:next w:val="784"/>
    <w:link w:val="781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85">
    <w:name w:val="Основной текст (2)"/>
    <w:basedOn w:val="722"/>
    <w:next w:val="785"/>
    <w:link w:val="782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86">
    <w:name w:val="Заголовок №1"/>
    <w:basedOn w:val="722"/>
    <w:next w:val="786"/>
    <w:link w:val="783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787">
    <w:name w:val="Сетка таблицы2"/>
    <w:basedOn w:val="728"/>
    <w:next w:val="732"/>
    <w:link w:val="722"/>
    <w:rPr>
      <w:rFonts w:ascii="Times New Roman" w:hAnsi="Times New Roman" w:eastAsia="Times New Roman"/>
    </w:rPr>
    <w:tblPr/>
  </w:style>
  <w:style w:type="table" w:styleId="788">
    <w:name w:val="Сетка таблицы3"/>
    <w:basedOn w:val="728"/>
    <w:next w:val="732"/>
    <w:link w:val="72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9">
    <w:name w:val="Сетка таблицы4"/>
    <w:basedOn w:val="728"/>
    <w:next w:val="732"/>
    <w:link w:val="72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90">
    <w:name w:val="Сетка таблицы5"/>
    <w:basedOn w:val="728"/>
    <w:next w:val="732"/>
    <w:link w:val="72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91">
    <w:name w:val="Сетка таблицы6"/>
    <w:basedOn w:val="728"/>
    <w:next w:val="732"/>
    <w:link w:val="722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792">
    <w:name w:val="Текст сноски"/>
    <w:basedOn w:val="722"/>
    <w:next w:val="792"/>
    <w:link w:val="793"/>
    <w:uiPriority w:val="99"/>
    <w:unhideWhenUsed/>
    <w:pPr>
      <w:spacing w:after="0" w:line="240" w:lineRule="auto"/>
    </w:pPr>
    <w:rPr>
      <w:sz w:val="20"/>
      <w:szCs w:val="20"/>
    </w:rPr>
  </w:style>
  <w:style w:type="character" w:styleId="793">
    <w:name w:val="Текст сноски Знак"/>
    <w:next w:val="793"/>
    <w:link w:val="792"/>
    <w:uiPriority w:val="99"/>
    <w:rPr>
      <w:lang w:eastAsia="en-US"/>
    </w:rPr>
  </w:style>
  <w:style w:type="character" w:styleId="794">
    <w:name w:val="Знак сноски"/>
    <w:next w:val="794"/>
    <w:link w:val="722"/>
    <w:uiPriority w:val="99"/>
    <w:unhideWhenUsed/>
    <w:rPr>
      <w:vertAlign w:val="superscript"/>
    </w:rPr>
  </w:style>
  <w:style w:type="paragraph" w:styleId="795">
    <w:name w:val="Style3"/>
    <w:basedOn w:val="722"/>
    <w:next w:val="795"/>
    <w:link w:val="722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6">
    <w:name w:val="Style19"/>
    <w:basedOn w:val="722"/>
    <w:next w:val="796"/>
    <w:link w:val="722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7">
    <w:name w:val="Style20"/>
    <w:basedOn w:val="722"/>
    <w:next w:val="797"/>
    <w:link w:val="722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8">
    <w:name w:val="Style43"/>
    <w:basedOn w:val="722"/>
    <w:next w:val="798"/>
    <w:link w:val="722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9">
    <w:name w:val="Style46"/>
    <w:basedOn w:val="722"/>
    <w:next w:val="799"/>
    <w:link w:val="722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0">
    <w:name w:val="Style51"/>
    <w:basedOn w:val="722"/>
    <w:next w:val="800"/>
    <w:link w:val="722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1">
    <w:name w:val="Font Style87"/>
    <w:next w:val="801"/>
    <w:link w:val="722"/>
    <w:uiPriority w:val="99"/>
    <w:rPr>
      <w:rFonts w:ascii="Times New Roman" w:hAnsi="Times New Roman" w:cs="Times New Roman"/>
      <w:sz w:val="26"/>
      <w:szCs w:val="26"/>
    </w:rPr>
  </w:style>
  <w:style w:type="character" w:styleId="802">
    <w:name w:val="Font Style90"/>
    <w:next w:val="802"/>
    <w:link w:val="722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803">
    <w:name w:val="Style40"/>
    <w:basedOn w:val="722"/>
    <w:next w:val="803"/>
    <w:link w:val="722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4">
    <w:name w:val="Font Style88"/>
    <w:next w:val="804"/>
    <w:link w:val="722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805">
    <w:name w:val="Style59"/>
    <w:basedOn w:val="722"/>
    <w:next w:val="805"/>
    <w:link w:val="722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6">
    <w:name w:val="Font Style98"/>
    <w:next w:val="806"/>
    <w:link w:val="722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07">
    <w:name w:val="Style39"/>
    <w:basedOn w:val="722"/>
    <w:next w:val="807"/>
    <w:link w:val="722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8">
    <w:name w:val="Font Style129"/>
    <w:next w:val="808"/>
    <w:link w:val="722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09">
    <w:name w:val="Font Style86"/>
    <w:next w:val="809"/>
    <w:link w:val="722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10">
    <w:name w:val="Style5"/>
    <w:basedOn w:val="722"/>
    <w:next w:val="810"/>
    <w:link w:val="722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1">
    <w:name w:val="Текст концевой сноски"/>
    <w:basedOn w:val="722"/>
    <w:next w:val="811"/>
    <w:link w:val="812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12">
    <w:name w:val="Текст концевой сноски Знак"/>
    <w:next w:val="812"/>
    <w:link w:val="811"/>
    <w:uiPriority w:val="99"/>
    <w:rPr>
      <w:lang w:eastAsia="en-US"/>
    </w:rPr>
  </w:style>
  <w:style w:type="character" w:styleId="813">
    <w:name w:val="Знак концевой сноски"/>
    <w:next w:val="813"/>
    <w:link w:val="722"/>
    <w:uiPriority w:val="99"/>
    <w:unhideWhenUsed/>
    <w:rPr>
      <w:vertAlign w:val="superscript"/>
    </w:rPr>
  </w:style>
  <w:style w:type="numbering" w:styleId="814">
    <w:name w:val="Нет списка2"/>
    <w:next w:val="729"/>
    <w:link w:val="722"/>
    <w:uiPriority w:val="99"/>
    <w:semiHidden/>
    <w:unhideWhenUsed/>
  </w:style>
  <w:style w:type="table" w:styleId="815">
    <w:name w:val="Сетка таблицы7"/>
    <w:basedOn w:val="728"/>
    <w:next w:val="732"/>
    <w:link w:val="722"/>
    <w:uiPriority w:val="59"/>
    <w:tblPr/>
  </w:style>
  <w:style w:type="numbering" w:styleId="816">
    <w:name w:val="Нет списка11"/>
    <w:next w:val="729"/>
    <w:link w:val="722"/>
    <w:uiPriority w:val="99"/>
    <w:semiHidden/>
    <w:unhideWhenUsed/>
  </w:style>
  <w:style w:type="table" w:styleId="817">
    <w:name w:val="Сетка таблицы11"/>
    <w:basedOn w:val="728"/>
    <w:next w:val="732"/>
    <w:link w:val="722"/>
    <w:rPr>
      <w:rFonts w:ascii="Times New Roman" w:hAnsi="Times New Roman" w:eastAsia="Times New Roman"/>
    </w:rPr>
    <w:tblPr/>
  </w:style>
  <w:style w:type="table" w:styleId="818">
    <w:name w:val="Сетка таблицы21"/>
    <w:basedOn w:val="728"/>
    <w:next w:val="732"/>
    <w:link w:val="722"/>
    <w:rPr>
      <w:rFonts w:ascii="Times New Roman" w:hAnsi="Times New Roman" w:eastAsia="Times New Roman"/>
    </w:rPr>
    <w:tblPr/>
  </w:style>
  <w:style w:type="table" w:styleId="819">
    <w:name w:val="Сетка таблицы31"/>
    <w:basedOn w:val="728"/>
    <w:next w:val="732"/>
    <w:link w:val="722"/>
    <w:uiPriority w:val="59"/>
    <w:rPr>
      <w:rFonts w:eastAsia="Times New Roman"/>
      <w:sz w:val="22"/>
      <w:szCs w:val="22"/>
    </w:rPr>
    <w:tblPr/>
  </w:style>
  <w:style w:type="table" w:styleId="820">
    <w:name w:val="Сетка таблицы41"/>
    <w:basedOn w:val="728"/>
    <w:next w:val="732"/>
    <w:link w:val="722"/>
    <w:uiPriority w:val="59"/>
    <w:rPr>
      <w:rFonts w:eastAsia="Times New Roman"/>
      <w:sz w:val="22"/>
      <w:szCs w:val="22"/>
    </w:rPr>
    <w:tblPr/>
  </w:style>
  <w:style w:type="table" w:styleId="821">
    <w:name w:val="Сетка таблицы51"/>
    <w:basedOn w:val="728"/>
    <w:next w:val="732"/>
    <w:link w:val="722"/>
    <w:uiPriority w:val="59"/>
    <w:rPr>
      <w:rFonts w:eastAsia="Times New Roman"/>
      <w:sz w:val="22"/>
      <w:szCs w:val="22"/>
    </w:rPr>
    <w:tblPr/>
  </w:style>
  <w:style w:type="table" w:styleId="822">
    <w:name w:val="Сетка таблицы61"/>
    <w:basedOn w:val="728"/>
    <w:next w:val="732"/>
    <w:link w:val="722"/>
    <w:uiPriority w:val="59"/>
    <w:rPr>
      <w:rFonts w:eastAsia="Times New Roman"/>
      <w:sz w:val="22"/>
      <w:szCs w:val="22"/>
    </w:rPr>
    <w:tblPr/>
  </w:style>
  <w:style w:type="character" w:styleId="823">
    <w:name w:val="Название Знак1"/>
    <w:next w:val="823"/>
    <w:link w:val="722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24">
    <w:name w:val="Без интервала"/>
    <w:next w:val="824"/>
    <w:link w:val="722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25">
    <w:name w:val="Основной текст1"/>
    <w:basedOn w:val="722"/>
    <w:next w:val="825"/>
    <w:link w:val="722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26">
    <w:name w:val="Рецензия"/>
    <w:next w:val="826"/>
    <w:link w:val="722"/>
    <w:hidden/>
    <w:uiPriority w:val="99"/>
    <w:semiHidden/>
    <w:rPr>
      <w:sz w:val="22"/>
      <w:szCs w:val="22"/>
      <w:lang w:val="ru-RU" w:eastAsia="en-US" w:bidi="ar-SA"/>
    </w:rPr>
  </w:style>
  <w:style w:type="character" w:styleId="1628" w:default="1">
    <w:name w:val="Default Paragraph Font"/>
    <w:uiPriority w:val="1"/>
    <w:semiHidden/>
    <w:unhideWhenUsed/>
  </w:style>
  <w:style w:type="numbering" w:styleId="1629" w:default="1">
    <w:name w:val="No List"/>
    <w:uiPriority w:val="99"/>
    <w:semiHidden/>
    <w:unhideWhenUsed/>
  </w:style>
  <w:style w:type="table" w:styleId="16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6</cp:revision>
  <dcterms:created xsi:type="dcterms:W3CDTF">2023-01-11T06:18:00Z</dcterms:created>
  <dcterms:modified xsi:type="dcterms:W3CDTF">2024-01-17T05:46:34Z</dcterms:modified>
  <cp:version>1048576</cp:version>
</cp:coreProperties>
</file>