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39" w:rsidRPr="008A5451" w:rsidRDefault="00F26539" w:rsidP="00F26539">
      <w:pPr>
        <w:tabs>
          <w:tab w:val="left" w:pos="5670"/>
        </w:tabs>
        <w:ind w:left="10490"/>
        <w:jc w:val="center"/>
        <w:outlineLvl w:val="0"/>
        <w:rPr>
          <w:sz w:val="28"/>
          <w:szCs w:val="28"/>
        </w:rPr>
      </w:pPr>
      <w:r w:rsidRPr="008A5451">
        <w:rPr>
          <w:sz w:val="28"/>
          <w:szCs w:val="28"/>
        </w:rPr>
        <w:t>ПРИЛОЖЕНИЕ</w:t>
      </w:r>
      <w:r>
        <w:rPr>
          <w:sz w:val="28"/>
          <w:szCs w:val="28"/>
        </w:rPr>
        <w:t xml:space="preserve"> № 1</w:t>
      </w:r>
    </w:p>
    <w:p w:rsidR="00F26539" w:rsidRPr="008A5451" w:rsidRDefault="00F26539" w:rsidP="00F26539">
      <w:pPr>
        <w:tabs>
          <w:tab w:val="left" w:pos="5670"/>
        </w:tabs>
        <w:ind w:left="10490"/>
        <w:jc w:val="center"/>
        <w:outlineLvl w:val="0"/>
        <w:rPr>
          <w:sz w:val="28"/>
          <w:szCs w:val="28"/>
        </w:rPr>
      </w:pPr>
      <w:r w:rsidRPr="008A5451">
        <w:rPr>
          <w:sz w:val="28"/>
          <w:szCs w:val="28"/>
        </w:rPr>
        <w:t>к постановлению Правительства</w:t>
      </w:r>
    </w:p>
    <w:p w:rsidR="00F26539" w:rsidRDefault="00F26539" w:rsidP="00F26539">
      <w:pPr>
        <w:tabs>
          <w:tab w:val="left" w:pos="5670"/>
        </w:tabs>
        <w:ind w:left="10490"/>
        <w:jc w:val="center"/>
        <w:outlineLvl w:val="0"/>
        <w:rPr>
          <w:sz w:val="28"/>
          <w:szCs w:val="28"/>
        </w:rPr>
      </w:pPr>
      <w:r w:rsidRPr="008A5451">
        <w:rPr>
          <w:sz w:val="28"/>
          <w:szCs w:val="28"/>
        </w:rPr>
        <w:t>Новосибирской области</w:t>
      </w:r>
    </w:p>
    <w:p w:rsidR="00F26539" w:rsidRDefault="00F26539" w:rsidP="00F26539">
      <w:pPr>
        <w:tabs>
          <w:tab w:val="left" w:pos="5670"/>
        </w:tabs>
        <w:ind w:left="10490"/>
        <w:jc w:val="center"/>
        <w:outlineLvl w:val="0"/>
        <w:rPr>
          <w:sz w:val="28"/>
          <w:szCs w:val="28"/>
        </w:rPr>
      </w:pPr>
    </w:p>
    <w:p w:rsidR="00F26539" w:rsidRDefault="00F26539" w:rsidP="00F26539">
      <w:pPr>
        <w:tabs>
          <w:tab w:val="left" w:pos="5670"/>
        </w:tabs>
        <w:ind w:left="10490"/>
        <w:jc w:val="center"/>
        <w:outlineLvl w:val="0"/>
        <w:rPr>
          <w:sz w:val="28"/>
          <w:szCs w:val="28"/>
        </w:rPr>
      </w:pPr>
    </w:p>
    <w:p w:rsidR="00F26539" w:rsidRPr="000E41F3" w:rsidRDefault="00F26539" w:rsidP="00F26539">
      <w:pPr>
        <w:tabs>
          <w:tab w:val="left" w:pos="5670"/>
        </w:tabs>
        <w:ind w:left="10490"/>
        <w:jc w:val="center"/>
        <w:outlineLvl w:val="0"/>
        <w:rPr>
          <w:sz w:val="28"/>
          <w:szCs w:val="28"/>
        </w:rPr>
      </w:pPr>
      <w:r>
        <w:rPr>
          <w:sz w:val="28"/>
          <w:szCs w:val="28"/>
        </w:rPr>
        <w:t>«ПРИЛОЖЕНИЕ № 1</w:t>
      </w:r>
    </w:p>
    <w:p w:rsidR="00F26539" w:rsidRPr="003E6E64" w:rsidRDefault="00F26539" w:rsidP="00F26539">
      <w:pPr>
        <w:tabs>
          <w:tab w:val="left" w:pos="8670"/>
        </w:tabs>
        <w:ind w:left="10490"/>
        <w:jc w:val="center"/>
        <w:rPr>
          <w:sz w:val="28"/>
          <w:szCs w:val="28"/>
        </w:rPr>
      </w:pPr>
      <w:r w:rsidRPr="003E6E64">
        <w:rPr>
          <w:sz w:val="28"/>
          <w:szCs w:val="28"/>
        </w:rPr>
        <w:t>к государственной программе</w:t>
      </w:r>
    </w:p>
    <w:p w:rsidR="00F26539" w:rsidRPr="00D305D2" w:rsidRDefault="00F26539" w:rsidP="00F26539">
      <w:pPr>
        <w:tabs>
          <w:tab w:val="left" w:pos="8670"/>
        </w:tabs>
        <w:ind w:left="10490"/>
        <w:jc w:val="center"/>
        <w:rPr>
          <w:sz w:val="28"/>
          <w:szCs w:val="28"/>
        </w:rPr>
      </w:pPr>
      <w:r w:rsidRPr="00D305D2">
        <w:rPr>
          <w:sz w:val="28"/>
          <w:szCs w:val="28"/>
        </w:rPr>
        <w:t>Новосибирской области</w:t>
      </w:r>
    </w:p>
    <w:p w:rsidR="00F26539" w:rsidRPr="00D305D2" w:rsidRDefault="00F26539" w:rsidP="00F26539">
      <w:pPr>
        <w:tabs>
          <w:tab w:val="left" w:pos="8670"/>
        </w:tabs>
        <w:ind w:left="10490"/>
        <w:jc w:val="center"/>
        <w:rPr>
          <w:sz w:val="28"/>
          <w:szCs w:val="28"/>
        </w:rPr>
      </w:pPr>
      <w:r w:rsidRPr="00D305D2">
        <w:rPr>
          <w:sz w:val="28"/>
          <w:szCs w:val="28"/>
        </w:rPr>
        <w:t>«Повышение качества  и доступности предоставления государственных и муниципальных услуг в Новосибирской области на 201</w:t>
      </w:r>
      <w:r>
        <w:rPr>
          <w:sz w:val="28"/>
          <w:szCs w:val="28"/>
        </w:rPr>
        <w:t>5-</w:t>
      </w:r>
      <w:r w:rsidRPr="00D305D2">
        <w:rPr>
          <w:sz w:val="28"/>
          <w:szCs w:val="28"/>
        </w:rPr>
        <w:t>20</w:t>
      </w:r>
      <w:r>
        <w:rPr>
          <w:sz w:val="28"/>
          <w:szCs w:val="28"/>
        </w:rPr>
        <w:t>20</w:t>
      </w:r>
      <w:r w:rsidRPr="00D305D2">
        <w:rPr>
          <w:sz w:val="28"/>
          <w:szCs w:val="28"/>
        </w:rPr>
        <w:t xml:space="preserve"> годы»</w:t>
      </w:r>
    </w:p>
    <w:p w:rsidR="00137E69" w:rsidRDefault="00137E69" w:rsidP="00F26539">
      <w:pPr>
        <w:pStyle w:val="ConsPlusNormal"/>
        <w:jc w:val="center"/>
        <w:rPr>
          <w:rFonts w:ascii="Times New Roman" w:hAnsi="Times New Roman" w:cs="Times New Roman"/>
          <w:b/>
          <w:sz w:val="28"/>
          <w:szCs w:val="28"/>
        </w:rPr>
      </w:pPr>
      <w:bookmarkStart w:id="0" w:name="P525"/>
      <w:bookmarkEnd w:id="0"/>
    </w:p>
    <w:p w:rsidR="00F26539" w:rsidRPr="00F26539" w:rsidRDefault="00F26539" w:rsidP="00F26539">
      <w:pPr>
        <w:pStyle w:val="ConsPlusNormal"/>
        <w:jc w:val="center"/>
        <w:rPr>
          <w:rFonts w:ascii="Times New Roman" w:hAnsi="Times New Roman" w:cs="Times New Roman"/>
          <w:b/>
          <w:sz w:val="28"/>
          <w:szCs w:val="28"/>
        </w:rPr>
      </w:pPr>
      <w:r w:rsidRPr="00F26539">
        <w:rPr>
          <w:rFonts w:ascii="Times New Roman" w:hAnsi="Times New Roman" w:cs="Times New Roman"/>
          <w:b/>
          <w:sz w:val="28"/>
          <w:szCs w:val="28"/>
        </w:rPr>
        <w:t>ЦЕЛИ, ЗАДАЧИ И ЦЕЛЕВЫЕ ИНДИКАТОРЫ</w:t>
      </w:r>
    </w:p>
    <w:p w:rsidR="00F26539" w:rsidRPr="00F26539" w:rsidRDefault="00F26539" w:rsidP="00F26539">
      <w:pPr>
        <w:pStyle w:val="ConsPlusNormal"/>
        <w:jc w:val="center"/>
        <w:rPr>
          <w:rFonts w:ascii="Times New Roman" w:hAnsi="Times New Roman" w:cs="Times New Roman"/>
          <w:b/>
          <w:sz w:val="28"/>
          <w:szCs w:val="28"/>
        </w:rPr>
      </w:pPr>
      <w:r w:rsidRPr="00F26539">
        <w:rPr>
          <w:rFonts w:ascii="Times New Roman" w:hAnsi="Times New Roman" w:cs="Times New Roman"/>
          <w:b/>
          <w:sz w:val="28"/>
          <w:szCs w:val="28"/>
        </w:rPr>
        <w:t xml:space="preserve">государственной программы Новосибирской области </w:t>
      </w:r>
      <w:r>
        <w:rPr>
          <w:rFonts w:ascii="Times New Roman" w:hAnsi="Times New Roman" w:cs="Times New Roman"/>
          <w:b/>
          <w:sz w:val="28"/>
          <w:szCs w:val="28"/>
        </w:rPr>
        <w:t>«</w:t>
      </w:r>
      <w:r w:rsidRPr="00F26539">
        <w:rPr>
          <w:rFonts w:ascii="Times New Roman" w:hAnsi="Times New Roman" w:cs="Times New Roman"/>
          <w:b/>
          <w:sz w:val="28"/>
          <w:szCs w:val="28"/>
        </w:rPr>
        <w:t>Повышение</w:t>
      </w:r>
      <w:r>
        <w:rPr>
          <w:rFonts w:ascii="Times New Roman" w:hAnsi="Times New Roman" w:cs="Times New Roman"/>
          <w:b/>
          <w:sz w:val="28"/>
          <w:szCs w:val="28"/>
        </w:rPr>
        <w:t xml:space="preserve"> </w:t>
      </w:r>
      <w:r w:rsidRPr="00F26539">
        <w:rPr>
          <w:rFonts w:ascii="Times New Roman" w:hAnsi="Times New Roman" w:cs="Times New Roman"/>
          <w:b/>
          <w:sz w:val="28"/>
          <w:szCs w:val="28"/>
        </w:rPr>
        <w:t>качества и доступности предоставления государственных</w:t>
      </w:r>
      <w:r>
        <w:rPr>
          <w:rFonts w:ascii="Times New Roman" w:hAnsi="Times New Roman" w:cs="Times New Roman"/>
          <w:b/>
          <w:sz w:val="28"/>
          <w:szCs w:val="28"/>
        </w:rPr>
        <w:t xml:space="preserve"> </w:t>
      </w:r>
      <w:r w:rsidRPr="00F26539">
        <w:rPr>
          <w:rFonts w:ascii="Times New Roman" w:hAnsi="Times New Roman" w:cs="Times New Roman"/>
          <w:b/>
          <w:sz w:val="28"/>
          <w:szCs w:val="28"/>
        </w:rPr>
        <w:t>и муниципальных услуг в Новосибирской</w:t>
      </w:r>
      <w:r>
        <w:rPr>
          <w:rFonts w:ascii="Times New Roman" w:hAnsi="Times New Roman" w:cs="Times New Roman"/>
          <w:b/>
          <w:sz w:val="28"/>
          <w:szCs w:val="28"/>
        </w:rPr>
        <w:t xml:space="preserve"> </w:t>
      </w:r>
      <w:r w:rsidRPr="00F26539">
        <w:rPr>
          <w:rFonts w:ascii="Times New Roman" w:hAnsi="Times New Roman" w:cs="Times New Roman"/>
          <w:b/>
          <w:sz w:val="28"/>
          <w:szCs w:val="28"/>
        </w:rPr>
        <w:t>области на 2015-2020 годы</w:t>
      </w:r>
      <w:r>
        <w:rPr>
          <w:rFonts w:ascii="Times New Roman" w:hAnsi="Times New Roman" w:cs="Times New Roman"/>
          <w:b/>
          <w:sz w:val="28"/>
          <w:szCs w:val="28"/>
        </w:rPr>
        <w:t>»</w:t>
      </w:r>
    </w:p>
    <w:p w:rsidR="00F26539" w:rsidRDefault="00F26539" w:rsidP="00F26539">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83"/>
        <w:gridCol w:w="3005"/>
        <w:gridCol w:w="1247"/>
        <w:gridCol w:w="1003"/>
        <w:gridCol w:w="1003"/>
        <w:gridCol w:w="1003"/>
        <w:gridCol w:w="1073"/>
        <w:gridCol w:w="1073"/>
        <w:gridCol w:w="1076"/>
        <w:gridCol w:w="1083"/>
        <w:gridCol w:w="1779"/>
      </w:tblGrid>
      <w:tr w:rsidR="00601FC4" w:rsidRPr="00F26539" w:rsidTr="00137E69">
        <w:trPr>
          <w:trHeight w:val="261"/>
        </w:trPr>
        <w:tc>
          <w:tcPr>
            <w:tcW w:w="784" w:type="pct"/>
            <w:vMerge w:val="restar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Цель/задачи, требующие решения для достижения цели</w:t>
            </w:r>
          </w:p>
        </w:tc>
        <w:tc>
          <w:tcPr>
            <w:tcW w:w="949" w:type="pct"/>
            <w:vMerge w:val="restar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Наименование целевого индикатора</w:t>
            </w:r>
          </w:p>
        </w:tc>
        <w:tc>
          <w:tcPr>
            <w:tcW w:w="394" w:type="pct"/>
            <w:vMerge w:val="restar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Единица измерения</w:t>
            </w:r>
          </w:p>
        </w:tc>
        <w:tc>
          <w:tcPr>
            <w:tcW w:w="2311" w:type="pct"/>
            <w:gridSpan w:val="7"/>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Значение целевого индикатора</w:t>
            </w:r>
          </w:p>
        </w:tc>
        <w:tc>
          <w:tcPr>
            <w:tcW w:w="562" w:type="pct"/>
            <w:vMerge w:val="restar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Примечание</w:t>
            </w:r>
          </w:p>
        </w:tc>
      </w:tr>
      <w:tr w:rsidR="00601FC4" w:rsidRPr="00F26539" w:rsidTr="00657404">
        <w:tc>
          <w:tcPr>
            <w:tcW w:w="784" w:type="pct"/>
            <w:vMerge/>
          </w:tcPr>
          <w:p w:rsidR="00F26539" w:rsidRPr="00137E69" w:rsidRDefault="00F26539" w:rsidP="00C569E9"/>
        </w:tc>
        <w:tc>
          <w:tcPr>
            <w:tcW w:w="949" w:type="pct"/>
            <w:vMerge/>
          </w:tcPr>
          <w:p w:rsidR="00F26539" w:rsidRPr="00137E69" w:rsidRDefault="00F26539" w:rsidP="00C569E9"/>
        </w:tc>
        <w:tc>
          <w:tcPr>
            <w:tcW w:w="394" w:type="pct"/>
            <w:vMerge/>
          </w:tcPr>
          <w:p w:rsidR="00F26539" w:rsidRPr="00137E69" w:rsidRDefault="00F26539" w:rsidP="00C569E9"/>
        </w:tc>
        <w:tc>
          <w:tcPr>
            <w:tcW w:w="2311" w:type="pct"/>
            <w:gridSpan w:val="7"/>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в том числе по годам</w:t>
            </w:r>
          </w:p>
        </w:tc>
        <w:tc>
          <w:tcPr>
            <w:tcW w:w="562" w:type="pct"/>
            <w:vMerge/>
          </w:tcPr>
          <w:p w:rsidR="00F26539" w:rsidRPr="00137E69" w:rsidRDefault="00F26539" w:rsidP="00C569E9"/>
        </w:tc>
      </w:tr>
      <w:tr w:rsidR="00F26539" w:rsidRPr="00F26539" w:rsidTr="00601FC4">
        <w:tc>
          <w:tcPr>
            <w:tcW w:w="784" w:type="pct"/>
            <w:vMerge/>
          </w:tcPr>
          <w:p w:rsidR="00F26539" w:rsidRPr="00137E69" w:rsidRDefault="00F26539" w:rsidP="00C569E9"/>
        </w:tc>
        <w:tc>
          <w:tcPr>
            <w:tcW w:w="949" w:type="pct"/>
            <w:vMerge/>
          </w:tcPr>
          <w:p w:rsidR="00F26539" w:rsidRPr="00137E69" w:rsidRDefault="00F26539" w:rsidP="00C569E9"/>
        </w:tc>
        <w:tc>
          <w:tcPr>
            <w:tcW w:w="394" w:type="pct"/>
            <w:vMerge/>
          </w:tcPr>
          <w:p w:rsidR="00F26539" w:rsidRPr="00137E69" w:rsidRDefault="00F26539" w:rsidP="00C569E9"/>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2014</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2015</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2016</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2017</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2018</w:t>
            </w:r>
          </w:p>
        </w:tc>
        <w:tc>
          <w:tcPr>
            <w:tcW w:w="340"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2019</w:t>
            </w:r>
          </w:p>
        </w:tc>
        <w:tc>
          <w:tcPr>
            <w:tcW w:w="342"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2020</w:t>
            </w:r>
          </w:p>
        </w:tc>
        <w:tc>
          <w:tcPr>
            <w:tcW w:w="562" w:type="pct"/>
            <w:vMerge/>
          </w:tcPr>
          <w:p w:rsidR="00F26539" w:rsidRPr="00137E69" w:rsidRDefault="00F26539" w:rsidP="00C569E9"/>
        </w:tc>
      </w:tr>
      <w:tr w:rsidR="00F26539" w:rsidRPr="00F26539" w:rsidTr="00A0440D">
        <w:trPr>
          <w:trHeight w:val="267"/>
        </w:trPr>
        <w:tc>
          <w:tcPr>
            <w:tcW w:w="784"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1</w:t>
            </w:r>
          </w:p>
        </w:tc>
        <w:tc>
          <w:tcPr>
            <w:tcW w:w="94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94"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3</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4</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5</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6</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7</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8</w:t>
            </w:r>
          </w:p>
        </w:tc>
        <w:tc>
          <w:tcPr>
            <w:tcW w:w="340"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w:t>
            </w:r>
          </w:p>
        </w:tc>
        <w:tc>
          <w:tcPr>
            <w:tcW w:w="342"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10</w:t>
            </w:r>
          </w:p>
        </w:tc>
        <w:tc>
          <w:tcPr>
            <w:tcW w:w="562"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11</w:t>
            </w:r>
          </w:p>
        </w:tc>
      </w:tr>
      <w:tr w:rsidR="00F26539" w:rsidRPr="00F26539" w:rsidTr="00137E69">
        <w:trPr>
          <w:trHeight w:val="1393"/>
        </w:trPr>
        <w:tc>
          <w:tcPr>
            <w:tcW w:w="784" w:type="pct"/>
            <w:vMerge w:val="restart"/>
          </w:tcPr>
          <w:p w:rsidR="00F26539" w:rsidRPr="00137E69" w:rsidRDefault="00F26539" w:rsidP="00137E69">
            <w:pPr>
              <w:pStyle w:val="ConsPlusNormal"/>
              <w:rPr>
                <w:sz w:val="20"/>
              </w:rPr>
            </w:pPr>
            <w:r w:rsidRPr="00137E69">
              <w:rPr>
                <w:rFonts w:ascii="Times New Roman" w:hAnsi="Times New Roman" w:cs="Times New Roman"/>
                <w:sz w:val="20"/>
              </w:rPr>
              <w:t>Цель: повышение качества и доступности предоставления государственных и муниципальных услуг в Новосибирской области</w:t>
            </w:r>
          </w:p>
        </w:tc>
        <w:tc>
          <w:tcPr>
            <w:tcW w:w="949" w:type="pct"/>
          </w:tcPr>
          <w:p w:rsidR="00F26539" w:rsidRPr="00137E69" w:rsidRDefault="00601FC4" w:rsidP="00C569E9">
            <w:pPr>
              <w:pStyle w:val="ConsPlusNormal"/>
              <w:rPr>
                <w:rFonts w:ascii="Times New Roman" w:hAnsi="Times New Roman" w:cs="Times New Roman"/>
                <w:sz w:val="20"/>
              </w:rPr>
            </w:pPr>
            <w:r w:rsidRPr="00137E69">
              <w:rPr>
                <w:rFonts w:ascii="Times New Roman" w:hAnsi="Times New Roman" w:cs="Times New Roman"/>
                <w:sz w:val="20"/>
              </w:rPr>
              <w:t>1. </w:t>
            </w:r>
            <w:r w:rsidR="00F26539" w:rsidRPr="00137E69">
              <w:rPr>
                <w:rFonts w:ascii="Times New Roman" w:hAnsi="Times New Roman" w:cs="Times New Roman"/>
                <w:sz w:val="20"/>
              </w:rPr>
              <w:t>Уровень удовлетворенности населения Новосибирской области качеством предоставления государственных и муниципальных услуг в Новосибирской области</w:t>
            </w:r>
          </w:p>
        </w:tc>
        <w:tc>
          <w:tcPr>
            <w:tcW w:w="394"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92,0</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95,0</w:t>
            </w:r>
          </w:p>
        </w:tc>
        <w:tc>
          <w:tcPr>
            <w:tcW w:w="317"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0"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2" w:type="pct"/>
          </w:tcPr>
          <w:p w:rsidR="00F26539" w:rsidRPr="00137E69" w:rsidRDefault="00F26539" w:rsidP="00C569E9">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562" w:type="pct"/>
          </w:tcPr>
          <w:p w:rsidR="00F26539" w:rsidRPr="00137E69" w:rsidRDefault="00F26539" w:rsidP="00C569E9">
            <w:pPr>
              <w:pStyle w:val="ConsPlusNormal"/>
              <w:rPr>
                <w:rFonts w:ascii="Times New Roman" w:hAnsi="Times New Roman" w:cs="Times New Roman"/>
                <w:sz w:val="20"/>
              </w:rPr>
            </w:pPr>
          </w:p>
        </w:tc>
      </w:tr>
      <w:tr w:rsidR="00A0440D" w:rsidRPr="00F26539" w:rsidTr="00601FC4">
        <w:tc>
          <w:tcPr>
            <w:tcW w:w="784" w:type="pct"/>
            <w:vMerge/>
          </w:tcPr>
          <w:p w:rsidR="00A0440D" w:rsidRPr="00137E69" w:rsidRDefault="00A0440D" w:rsidP="00C569E9">
            <w:pPr>
              <w:pStyle w:val="ConsPlusNormal"/>
              <w:rPr>
                <w:rFonts w:ascii="Times New Roman" w:hAnsi="Times New Roman" w:cs="Times New Roman"/>
                <w:sz w:val="20"/>
              </w:rPr>
            </w:pPr>
          </w:p>
        </w:tc>
        <w:tc>
          <w:tcPr>
            <w:tcW w:w="949" w:type="pct"/>
          </w:tcPr>
          <w:p w:rsidR="00A0440D" w:rsidRPr="00137E69" w:rsidRDefault="00A0440D" w:rsidP="00A0440D">
            <w:pPr>
              <w:pStyle w:val="ConsPlusNormal"/>
              <w:rPr>
                <w:rFonts w:ascii="Times New Roman" w:hAnsi="Times New Roman" w:cs="Times New Roman"/>
                <w:sz w:val="20"/>
              </w:rPr>
            </w:pPr>
            <w:r w:rsidRPr="00137E69">
              <w:rPr>
                <w:rFonts w:ascii="Times New Roman" w:hAnsi="Times New Roman" w:cs="Times New Roman"/>
                <w:sz w:val="20"/>
              </w:rPr>
              <w:t xml:space="preserve">2. Уровень удовлетворенности заявителей качеством предоставления государственных и муниципальных услуг на базе </w:t>
            </w:r>
            <w:r w:rsidRPr="00137E69">
              <w:rPr>
                <w:rFonts w:ascii="Times New Roman" w:hAnsi="Times New Roman" w:cs="Times New Roman"/>
                <w:sz w:val="20"/>
              </w:rPr>
              <w:lastRenderedPageBreak/>
              <w:t>ГАУ НСО «МФЦ»</w:t>
            </w:r>
          </w:p>
        </w:tc>
        <w:tc>
          <w:tcPr>
            <w:tcW w:w="394"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lastRenderedPageBreak/>
              <w:t>%</w:t>
            </w:r>
          </w:p>
        </w:tc>
        <w:tc>
          <w:tcPr>
            <w:tcW w:w="317"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94,0</w:t>
            </w:r>
          </w:p>
        </w:tc>
        <w:tc>
          <w:tcPr>
            <w:tcW w:w="317"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95,0</w:t>
            </w:r>
          </w:p>
        </w:tc>
        <w:tc>
          <w:tcPr>
            <w:tcW w:w="317"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0"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2" w:type="pct"/>
          </w:tcPr>
          <w:p w:rsidR="00A0440D" w:rsidRPr="00137E69" w:rsidRDefault="00A0440D" w:rsidP="00597DC0">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562" w:type="pct"/>
          </w:tcPr>
          <w:p w:rsidR="00A0440D" w:rsidRPr="00137E69" w:rsidRDefault="00A0440D" w:rsidP="00C569E9">
            <w:pPr>
              <w:pStyle w:val="ConsPlusNormal"/>
              <w:rPr>
                <w:rFonts w:ascii="Times New Roman" w:hAnsi="Times New Roman" w:cs="Times New Roman"/>
                <w:sz w:val="20"/>
              </w:rPr>
            </w:pPr>
          </w:p>
        </w:tc>
      </w:tr>
      <w:tr w:rsidR="00A0440D" w:rsidRPr="00F26539" w:rsidTr="00601FC4">
        <w:tc>
          <w:tcPr>
            <w:tcW w:w="784" w:type="pct"/>
            <w:vMerge/>
          </w:tcPr>
          <w:p w:rsidR="00A0440D" w:rsidRPr="00137E69" w:rsidRDefault="00A0440D" w:rsidP="00C569E9">
            <w:pPr>
              <w:pStyle w:val="ConsPlusNormal"/>
              <w:rPr>
                <w:rFonts w:ascii="Times New Roman" w:hAnsi="Times New Roman" w:cs="Times New Roman"/>
                <w:sz w:val="20"/>
              </w:rPr>
            </w:pPr>
          </w:p>
        </w:tc>
        <w:tc>
          <w:tcPr>
            <w:tcW w:w="949" w:type="pct"/>
          </w:tcPr>
          <w:p w:rsidR="00A0440D" w:rsidRPr="00137E69" w:rsidRDefault="00A0440D" w:rsidP="006A624C">
            <w:pPr>
              <w:pStyle w:val="ConsPlusNormal"/>
              <w:rPr>
                <w:rFonts w:ascii="Times New Roman" w:hAnsi="Times New Roman" w:cs="Times New Roman"/>
                <w:sz w:val="20"/>
              </w:rPr>
            </w:pPr>
            <w:r w:rsidRPr="00137E69">
              <w:rPr>
                <w:rFonts w:ascii="Times New Roman" w:hAnsi="Times New Roman" w:cs="Times New Roman"/>
                <w:sz w:val="20"/>
              </w:rPr>
              <w:t>3. 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394"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w:t>
            </w:r>
          </w:p>
        </w:tc>
        <w:tc>
          <w:tcPr>
            <w:tcW w:w="317"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40,0</w:t>
            </w:r>
          </w:p>
        </w:tc>
        <w:tc>
          <w:tcPr>
            <w:tcW w:w="317"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17"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39"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0"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342" w:type="pct"/>
          </w:tcPr>
          <w:p w:rsidR="00A0440D" w:rsidRPr="00137E69" w:rsidRDefault="00A0440D" w:rsidP="006A624C">
            <w:pPr>
              <w:pStyle w:val="ConsPlusNormal"/>
              <w:jc w:val="center"/>
              <w:rPr>
                <w:rFonts w:ascii="Times New Roman" w:hAnsi="Times New Roman" w:cs="Times New Roman"/>
                <w:sz w:val="20"/>
              </w:rPr>
            </w:pPr>
            <w:r w:rsidRPr="00137E69">
              <w:rPr>
                <w:rFonts w:ascii="Times New Roman" w:hAnsi="Times New Roman" w:cs="Times New Roman"/>
                <w:sz w:val="20"/>
              </w:rPr>
              <w:t>90,0</w:t>
            </w:r>
          </w:p>
        </w:tc>
        <w:tc>
          <w:tcPr>
            <w:tcW w:w="562" w:type="pct"/>
          </w:tcPr>
          <w:p w:rsidR="00A0440D" w:rsidRPr="00137E69" w:rsidRDefault="00A0440D" w:rsidP="00C569E9">
            <w:pPr>
              <w:pStyle w:val="ConsPlusNormal"/>
              <w:rPr>
                <w:rFonts w:ascii="Times New Roman" w:hAnsi="Times New Roman" w:cs="Times New Roman"/>
                <w:sz w:val="20"/>
              </w:rPr>
            </w:pPr>
          </w:p>
        </w:tc>
      </w:tr>
      <w:tr w:rsidR="00A0440D" w:rsidRPr="00F26539" w:rsidTr="00601FC4">
        <w:tc>
          <w:tcPr>
            <w:tcW w:w="784" w:type="pct"/>
            <w:vMerge/>
          </w:tcPr>
          <w:p w:rsidR="00A0440D" w:rsidRPr="00137E69" w:rsidRDefault="00A0440D" w:rsidP="00C569E9"/>
        </w:tc>
        <w:tc>
          <w:tcPr>
            <w:tcW w:w="949" w:type="pct"/>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4. Среднее время ожидания в очереди при обращении заявителя в орган государственной власти (орган местного самоуправления) для получения государственных (муниципальных) услуг</w:t>
            </w:r>
          </w:p>
        </w:tc>
        <w:tc>
          <w:tcPr>
            <w:tcW w:w="394"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мин.</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39"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39"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40"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342"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15</w:t>
            </w:r>
          </w:p>
        </w:tc>
        <w:tc>
          <w:tcPr>
            <w:tcW w:w="562" w:type="pct"/>
          </w:tcPr>
          <w:p w:rsidR="00A0440D" w:rsidRPr="00137E69" w:rsidRDefault="00A0440D" w:rsidP="00C569E9">
            <w:pPr>
              <w:pStyle w:val="ConsPlusNormal"/>
              <w:rPr>
                <w:rFonts w:ascii="Times New Roman" w:hAnsi="Times New Roman" w:cs="Times New Roman"/>
                <w:sz w:val="20"/>
              </w:rPr>
            </w:pPr>
          </w:p>
        </w:tc>
      </w:tr>
      <w:tr w:rsidR="00A0440D" w:rsidRPr="00F26539" w:rsidTr="00601FC4">
        <w:tblPrEx>
          <w:tblBorders>
            <w:insideH w:val="nil"/>
          </w:tblBorders>
        </w:tblPrEx>
        <w:tc>
          <w:tcPr>
            <w:tcW w:w="784" w:type="pct"/>
            <w:vMerge/>
          </w:tcPr>
          <w:p w:rsidR="00A0440D" w:rsidRPr="00137E69" w:rsidRDefault="00A0440D" w:rsidP="00C569E9"/>
        </w:tc>
        <w:tc>
          <w:tcPr>
            <w:tcW w:w="949" w:type="pct"/>
            <w:tcBorders>
              <w:bottom w:val="single" w:sz="4" w:space="0" w:color="auto"/>
            </w:tcBorders>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 xml:space="preserve">5. Среднее число обращений представителей </w:t>
            </w:r>
            <w:proofErr w:type="gramStart"/>
            <w:r w:rsidRPr="00137E69">
              <w:rPr>
                <w:rFonts w:ascii="Times New Roman" w:hAnsi="Times New Roman" w:cs="Times New Roman"/>
                <w:sz w:val="20"/>
              </w:rPr>
              <w:t>бизнес-сообщества</w:t>
            </w:r>
            <w:proofErr w:type="gramEnd"/>
            <w:r w:rsidRPr="00137E69">
              <w:rPr>
                <w:rFonts w:ascii="Times New Roman" w:hAnsi="Times New Roman" w:cs="Times New Roman"/>
                <w:sz w:val="20"/>
              </w:rPr>
              <w:t xml:space="preserve"> в орган государственной власти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94"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ед.</w:t>
            </w:r>
          </w:p>
        </w:tc>
        <w:tc>
          <w:tcPr>
            <w:tcW w:w="317"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17"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17"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39"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39"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40"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42" w:type="pct"/>
            <w:tcBorders>
              <w:bottom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562" w:type="pct"/>
            <w:tcBorders>
              <w:bottom w:val="single" w:sz="4" w:space="0" w:color="auto"/>
            </w:tcBorders>
          </w:tcPr>
          <w:p w:rsidR="00A0440D" w:rsidRPr="00137E69" w:rsidRDefault="00A0440D" w:rsidP="00C569E9">
            <w:pPr>
              <w:pStyle w:val="ConsPlusNormal"/>
              <w:rPr>
                <w:rFonts w:ascii="Times New Roman" w:hAnsi="Times New Roman" w:cs="Times New Roman"/>
                <w:sz w:val="20"/>
              </w:rPr>
            </w:pPr>
          </w:p>
        </w:tc>
      </w:tr>
      <w:tr w:rsidR="00A0440D" w:rsidRPr="00F26539" w:rsidTr="00DC0292">
        <w:tc>
          <w:tcPr>
            <w:tcW w:w="784" w:type="pct"/>
            <w:vMerge w:val="restart"/>
            <w:tcBorders>
              <w:top w:val="single" w:sz="4" w:space="0" w:color="auto"/>
            </w:tcBorders>
          </w:tcPr>
          <w:p w:rsidR="00A0440D" w:rsidRPr="00137E69" w:rsidRDefault="00A0440D" w:rsidP="00F26539">
            <w:pPr>
              <w:pStyle w:val="ConsPlusNormal"/>
              <w:rPr>
                <w:rFonts w:ascii="Times New Roman" w:hAnsi="Times New Roman" w:cs="Times New Roman"/>
                <w:sz w:val="20"/>
              </w:rPr>
            </w:pPr>
            <w:r w:rsidRPr="00137E69">
              <w:rPr>
                <w:rFonts w:ascii="Times New Roman" w:hAnsi="Times New Roman" w:cs="Times New Roman"/>
                <w:sz w:val="20"/>
              </w:rPr>
              <w:t>Задача: организация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w:t>
            </w:r>
          </w:p>
        </w:tc>
        <w:tc>
          <w:tcPr>
            <w:tcW w:w="949" w:type="pct"/>
            <w:tcBorders>
              <w:top w:val="single" w:sz="4" w:space="0" w:color="auto"/>
            </w:tcBorders>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6. Количество филиалов ГАУ НСО «МФЦ», создаваемых в рамках реализации государственной программы</w:t>
            </w:r>
          </w:p>
        </w:tc>
        <w:tc>
          <w:tcPr>
            <w:tcW w:w="394"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ед. (в год)</w:t>
            </w:r>
          </w:p>
        </w:tc>
        <w:tc>
          <w:tcPr>
            <w:tcW w:w="317"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17"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22</w:t>
            </w:r>
          </w:p>
        </w:tc>
        <w:tc>
          <w:tcPr>
            <w:tcW w:w="317"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39"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2</w:t>
            </w:r>
          </w:p>
        </w:tc>
        <w:tc>
          <w:tcPr>
            <w:tcW w:w="339"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40"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42" w:type="pct"/>
            <w:tcBorders>
              <w:top w:val="single" w:sz="4" w:space="0" w:color="auto"/>
            </w:tcBorders>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562" w:type="pct"/>
            <w:tcBorders>
              <w:top w:val="single" w:sz="4" w:space="0" w:color="auto"/>
            </w:tcBorders>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По состоянию на 01.01.2018 на территории Новосибирской области созданы и действуют 44 филиалов ГАУ НСО «МФЦ»</w:t>
            </w:r>
          </w:p>
        </w:tc>
      </w:tr>
      <w:tr w:rsidR="00A0440D" w:rsidRPr="00F26539" w:rsidTr="00DC0292">
        <w:tc>
          <w:tcPr>
            <w:tcW w:w="784" w:type="pct"/>
            <w:vMerge/>
          </w:tcPr>
          <w:p w:rsidR="00A0440D" w:rsidRPr="00137E69" w:rsidRDefault="00A0440D" w:rsidP="00C569E9"/>
        </w:tc>
        <w:tc>
          <w:tcPr>
            <w:tcW w:w="949" w:type="pct"/>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 xml:space="preserve">7. Количество территориально обособленных структурных подразделений (офисов) МФЦ, создаваемых в рамках </w:t>
            </w:r>
            <w:r w:rsidRPr="00137E69">
              <w:rPr>
                <w:rFonts w:ascii="Times New Roman" w:hAnsi="Times New Roman" w:cs="Times New Roman"/>
                <w:sz w:val="20"/>
              </w:rPr>
              <w:lastRenderedPageBreak/>
              <w:t>реализации государственной программы</w:t>
            </w:r>
          </w:p>
        </w:tc>
        <w:tc>
          <w:tcPr>
            <w:tcW w:w="394"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lastRenderedPageBreak/>
              <w:t>ед. (в год)</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8</w:t>
            </w:r>
          </w:p>
        </w:tc>
        <w:tc>
          <w:tcPr>
            <w:tcW w:w="317"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39"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39"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40"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42" w:type="pct"/>
          </w:tcPr>
          <w:p w:rsidR="00A0440D" w:rsidRPr="00137E69" w:rsidRDefault="00A0440D" w:rsidP="00C569E9">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562" w:type="pct"/>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 xml:space="preserve">По состоянию на 01.01.2018 на территории Новосибирской </w:t>
            </w:r>
            <w:r w:rsidRPr="00137E69">
              <w:rPr>
                <w:rFonts w:ascii="Times New Roman" w:hAnsi="Times New Roman" w:cs="Times New Roman"/>
                <w:sz w:val="20"/>
              </w:rPr>
              <w:lastRenderedPageBreak/>
              <w:t xml:space="preserve">области созданы и действуют 58 территориально </w:t>
            </w:r>
            <w:proofErr w:type="gramStart"/>
            <w:r w:rsidRPr="00137E69">
              <w:rPr>
                <w:rFonts w:ascii="Times New Roman" w:hAnsi="Times New Roman" w:cs="Times New Roman"/>
                <w:sz w:val="20"/>
              </w:rPr>
              <w:t>обособленных</w:t>
            </w:r>
            <w:proofErr w:type="gramEnd"/>
            <w:r w:rsidRPr="00137E69">
              <w:rPr>
                <w:rFonts w:ascii="Times New Roman" w:hAnsi="Times New Roman" w:cs="Times New Roman"/>
                <w:sz w:val="20"/>
              </w:rPr>
              <w:t xml:space="preserve"> структурных подразделения (офиса) МФЦ</w:t>
            </w:r>
          </w:p>
        </w:tc>
      </w:tr>
      <w:tr w:rsidR="00A0440D" w:rsidRPr="00F26539" w:rsidTr="00657404">
        <w:tc>
          <w:tcPr>
            <w:tcW w:w="784" w:type="pct"/>
            <w:vMerge/>
          </w:tcPr>
          <w:p w:rsidR="00A0440D" w:rsidRPr="00137E69" w:rsidRDefault="00A0440D" w:rsidP="00C569E9"/>
        </w:tc>
        <w:tc>
          <w:tcPr>
            <w:tcW w:w="949" w:type="pct"/>
          </w:tcPr>
          <w:p w:rsidR="00A0440D" w:rsidRPr="00137E69" w:rsidRDefault="00A0440D" w:rsidP="00C569E9">
            <w:pPr>
              <w:pStyle w:val="ConsPlusNormal"/>
              <w:rPr>
                <w:rFonts w:ascii="Times New Roman" w:hAnsi="Times New Roman" w:cs="Times New Roman"/>
                <w:sz w:val="20"/>
              </w:rPr>
            </w:pPr>
            <w:r w:rsidRPr="00137E69">
              <w:rPr>
                <w:rFonts w:ascii="Times New Roman" w:hAnsi="Times New Roman" w:cs="Times New Roman"/>
                <w:sz w:val="20"/>
              </w:rPr>
              <w:t>8.</w:t>
            </w:r>
            <w:r w:rsidRPr="00137E69">
              <w:rPr>
                <w:sz w:val="20"/>
              </w:rPr>
              <w:t> </w:t>
            </w:r>
            <w:r w:rsidRPr="00137E69">
              <w:rPr>
                <w:rFonts w:ascii="Times New Roman" w:hAnsi="Times New Roman" w:cs="Times New Roman"/>
                <w:sz w:val="20"/>
              </w:rPr>
              <w:t>Количество функционирующих окон обслуживания, ориентированных на предоставление государственных, муниципальных и дополнительных (сопутствующих) услуг субъектам малого и среднего предпринимательства</w:t>
            </w:r>
          </w:p>
        </w:tc>
        <w:tc>
          <w:tcPr>
            <w:tcW w:w="394" w:type="pct"/>
          </w:tcPr>
          <w:p w:rsidR="00A0440D" w:rsidRPr="00137E69" w:rsidRDefault="00A0440D" w:rsidP="00657404">
            <w:pPr>
              <w:pStyle w:val="ConsPlusNormal"/>
              <w:jc w:val="center"/>
              <w:rPr>
                <w:rFonts w:ascii="Times New Roman" w:hAnsi="Times New Roman" w:cs="Times New Roman"/>
                <w:sz w:val="20"/>
              </w:rPr>
            </w:pPr>
            <w:r w:rsidRPr="00137E69">
              <w:rPr>
                <w:rFonts w:ascii="Times New Roman" w:hAnsi="Times New Roman" w:cs="Times New Roman"/>
                <w:sz w:val="20"/>
              </w:rPr>
              <w:t>ед. (в год)</w:t>
            </w:r>
          </w:p>
        </w:tc>
        <w:tc>
          <w:tcPr>
            <w:tcW w:w="317" w:type="pct"/>
          </w:tcPr>
          <w:p w:rsidR="00A0440D" w:rsidRPr="00137E69" w:rsidRDefault="001D7D14" w:rsidP="00657404">
            <w:pPr>
              <w:widowControl w:val="0"/>
              <w:adjustRightInd w:val="0"/>
              <w:jc w:val="center"/>
            </w:pPr>
            <w:r w:rsidRPr="00137E69">
              <w:t>-</w:t>
            </w:r>
          </w:p>
        </w:tc>
        <w:tc>
          <w:tcPr>
            <w:tcW w:w="317" w:type="pct"/>
          </w:tcPr>
          <w:p w:rsidR="00A0440D" w:rsidRPr="00137E69" w:rsidRDefault="00A0440D" w:rsidP="00657404">
            <w:pPr>
              <w:widowControl w:val="0"/>
              <w:adjustRightInd w:val="0"/>
              <w:jc w:val="center"/>
            </w:pPr>
            <w:r w:rsidRPr="00137E69">
              <w:t>0</w:t>
            </w:r>
          </w:p>
        </w:tc>
        <w:tc>
          <w:tcPr>
            <w:tcW w:w="317" w:type="pct"/>
          </w:tcPr>
          <w:p w:rsidR="00A0440D" w:rsidRPr="00137E69" w:rsidRDefault="00A0440D" w:rsidP="00657404">
            <w:pPr>
              <w:widowControl w:val="0"/>
              <w:adjustRightInd w:val="0"/>
              <w:jc w:val="center"/>
            </w:pPr>
            <w:r w:rsidRPr="00137E69">
              <w:t>2</w:t>
            </w:r>
          </w:p>
        </w:tc>
        <w:tc>
          <w:tcPr>
            <w:tcW w:w="339" w:type="pct"/>
          </w:tcPr>
          <w:p w:rsidR="00A0440D" w:rsidRPr="00137E69" w:rsidRDefault="00A0440D" w:rsidP="00657404">
            <w:pPr>
              <w:widowControl w:val="0"/>
              <w:adjustRightInd w:val="0"/>
              <w:jc w:val="center"/>
            </w:pPr>
            <w:r w:rsidRPr="00137E69">
              <w:t>13</w:t>
            </w:r>
          </w:p>
        </w:tc>
        <w:tc>
          <w:tcPr>
            <w:tcW w:w="339" w:type="pct"/>
          </w:tcPr>
          <w:p w:rsidR="00A0440D" w:rsidRPr="00137E69" w:rsidRDefault="00A0440D" w:rsidP="00657404">
            <w:pPr>
              <w:widowControl w:val="0"/>
              <w:adjustRightInd w:val="0"/>
              <w:jc w:val="center"/>
            </w:pPr>
            <w:r w:rsidRPr="00137E69">
              <w:t>13</w:t>
            </w:r>
          </w:p>
        </w:tc>
        <w:tc>
          <w:tcPr>
            <w:tcW w:w="340" w:type="pct"/>
          </w:tcPr>
          <w:p w:rsidR="00A0440D" w:rsidRPr="00137E69" w:rsidRDefault="00A0440D" w:rsidP="00657404">
            <w:pPr>
              <w:widowControl w:val="0"/>
              <w:adjustRightInd w:val="0"/>
              <w:jc w:val="center"/>
            </w:pPr>
            <w:r w:rsidRPr="00137E69">
              <w:t>13</w:t>
            </w:r>
          </w:p>
        </w:tc>
        <w:tc>
          <w:tcPr>
            <w:tcW w:w="342" w:type="pct"/>
          </w:tcPr>
          <w:p w:rsidR="00A0440D" w:rsidRPr="00137E69" w:rsidRDefault="00A0440D" w:rsidP="00657404">
            <w:pPr>
              <w:widowControl w:val="0"/>
              <w:adjustRightInd w:val="0"/>
              <w:jc w:val="center"/>
            </w:pPr>
            <w:r w:rsidRPr="00137E69">
              <w:t>13</w:t>
            </w:r>
          </w:p>
        </w:tc>
        <w:tc>
          <w:tcPr>
            <w:tcW w:w="562" w:type="pct"/>
          </w:tcPr>
          <w:p w:rsidR="00A0440D" w:rsidRPr="00137E69" w:rsidRDefault="001D7D14" w:rsidP="001D7D14">
            <w:pPr>
              <w:pStyle w:val="ConsPlusNormal"/>
              <w:rPr>
                <w:rFonts w:ascii="Times New Roman" w:hAnsi="Times New Roman" w:cs="Times New Roman"/>
                <w:sz w:val="20"/>
              </w:rPr>
            </w:pPr>
            <w:r w:rsidRPr="00137E69">
              <w:rPr>
                <w:rFonts w:ascii="Times New Roman" w:hAnsi="Times New Roman" w:cs="Times New Roman"/>
                <w:sz w:val="20"/>
              </w:rPr>
              <w:t>Целевой индикатор введен с 2017 года, на 2016 год приведено базовое значение</w:t>
            </w:r>
          </w:p>
        </w:tc>
      </w:tr>
      <w:tr w:rsidR="001D7D14" w:rsidRPr="00F26539" w:rsidTr="00657404">
        <w:tc>
          <w:tcPr>
            <w:tcW w:w="784" w:type="pct"/>
            <w:vMerge/>
          </w:tcPr>
          <w:p w:rsidR="001D7D14" w:rsidRPr="00137E69" w:rsidRDefault="001D7D14" w:rsidP="00C569E9"/>
        </w:tc>
        <w:tc>
          <w:tcPr>
            <w:tcW w:w="949" w:type="pct"/>
          </w:tcPr>
          <w:p w:rsidR="001D7D14" w:rsidRPr="00137E69" w:rsidRDefault="001D7D14" w:rsidP="00657404">
            <w:pPr>
              <w:widowControl w:val="0"/>
              <w:adjustRightInd w:val="0"/>
            </w:pPr>
            <w:r w:rsidRPr="00137E69">
              <w:t>9. Количество государственных и муниципальных услуг, оказанных ГАУ НСО «МФЦ»</w:t>
            </w:r>
          </w:p>
        </w:tc>
        <w:tc>
          <w:tcPr>
            <w:tcW w:w="394" w:type="pct"/>
          </w:tcPr>
          <w:p w:rsidR="001D7D14" w:rsidRPr="00137E69" w:rsidRDefault="001D7D14" w:rsidP="00657404">
            <w:pPr>
              <w:widowControl w:val="0"/>
              <w:adjustRightInd w:val="0"/>
              <w:ind w:left="-57" w:right="-57"/>
              <w:jc w:val="center"/>
            </w:pPr>
            <w:r w:rsidRPr="00137E69">
              <w:t>ед. (в год)</w:t>
            </w:r>
          </w:p>
        </w:tc>
        <w:tc>
          <w:tcPr>
            <w:tcW w:w="317" w:type="pct"/>
          </w:tcPr>
          <w:p w:rsidR="001D7D14" w:rsidRPr="00137E69" w:rsidRDefault="001D7D14" w:rsidP="00657404">
            <w:pPr>
              <w:widowControl w:val="0"/>
              <w:adjustRightInd w:val="0"/>
              <w:jc w:val="center"/>
            </w:pPr>
            <w:r w:rsidRPr="00137E69">
              <w:t>-</w:t>
            </w:r>
          </w:p>
        </w:tc>
        <w:tc>
          <w:tcPr>
            <w:tcW w:w="317" w:type="pct"/>
          </w:tcPr>
          <w:p w:rsidR="001D7D14" w:rsidRPr="00137E69" w:rsidRDefault="001D7D14" w:rsidP="00657404">
            <w:pPr>
              <w:widowControl w:val="0"/>
              <w:adjustRightInd w:val="0"/>
              <w:jc w:val="center"/>
            </w:pPr>
            <w:r w:rsidRPr="00137E69">
              <w:t>-</w:t>
            </w:r>
          </w:p>
        </w:tc>
        <w:tc>
          <w:tcPr>
            <w:tcW w:w="317" w:type="pct"/>
          </w:tcPr>
          <w:p w:rsidR="001D7D14" w:rsidRPr="00137E69" w:rsidRDefault="001D7D14" w:rsidP="00657404">
            <w:pPr>
              <w:widowControl w:val="0"/>
              <w:adjustRightInd w:val="0"/>
              <w:jc w:val="center"/>
            </w:pPr>
            <w:r w:rsidRPr="00137E69">
              <w:t>-</w:t>
            </w:r>
          </w:p>
        </w:tc>
        <w:tc>
          <w:tcPr>
            <w:tcW w:w="339" w:type="pct"/>
          </w:tcPr>
          <w:p w:rsidR="001D7D14" w:rsidRPr="00137E69" w:rsidRDefault="001D7D14" w:rsidP="00657404">
            <w:pPr>
              <w:widowControl w:val="0"/>
              <w:adjustRightInd w:val="0"/>
              <w:ind w:left="-113" w:right="-113"/>
              <w:jc w:val="center"/>
            </w:pPr>
            <w:r w:rsidRPr="00137E69">
              <w:t>1 140 000</w:t>
            </w:r>
          </w:p>
        </w:tc>
        <w:tc>
          <w:tcPr>
            <w:tcW w:w="339" w:type="pct"/>
          </w:tcPr>
          <w:p w:rsidR="001D7D14" w:rsidRPr="00137E69" w:rsidRDefault="001D7D14" w:rsidP="00657404">
            <w:pPr>
              <w:widowControl w:val="0"/>
              <w:adjustRightInd w:val="0"/>
              <w:ind w:left="-113" w:right="-113"/>
              <w:jc w:val="center"/>
            </w:pPr>
            <w:r w:rsidRPr="00137E69">
              <w:t>1 200 000</w:t>
            </w:r>
          </w:p>
        </w:tc>
        <w:tc>
          <w:tcPr>
            <w:tcW w:w="340" w:type="pct"/>
          </w:tcPr>
          <w:p w:rsidR="001D7D14" w:rsidRPr="00137E69" w:rsidRDefault="001D7D14" w:rsidP="00657404">
            <w:pPr>
              <w:widowControl w:val="0"/>
              <w:adjustRightInd w:val="0"/>
              <w:ind w:left="-113" w:right="-113"/>
              <w:jc w:val="center"/>
            </w:pPr>
            <w:r w:rsidRPr="00137E69">
              <w:t>1 200 000</w:t>
            </w:r>
          </w:p>
        </w:tc>
        <w:tc>
          <w:tcPr>
            <w:tcW w:w="342" w:type="pct"/>
          </w:tcPr>
          <w:p w:rsidR="001D7D14" w:rsidRPr="00137E69" w:rsidRDefault="001D7D14" w:rsidP="00657404">
            <w:pPr>
              <w:widowControl w:val="0"/>
              <w:adjustRightInd w:val="0"/>
              <w:ind w:left="-113" w:right="-113"/>
              <w:jc w:val="center"/>
            </w:pPr>
            <w:r w:rsidRPr="00137E69">
              <w:t>1 200 000</w:t>
            </w:r>
          </w:p>
        </w:tc>
        <w:tc>
          <w:tcPr>
            <w:tcW w:w="562" w:type="pct"/>
          </w:tcPr>
          <w:p w:rsidR="001D7D14" w:rsidRPr="00137E69" w:rsidRDefault="001D7D14" w:rsidP="004F23DF">
            <w:pPr>
              <w:pStyle w:val="ConsPlusNormal"/>
              <w:rPr>
                <w:rFonts w:ascii="Times New Roman" w:hAnsi="Times New Roman" w:cs="Times New Roman"/>
                <w:sz w:val="20"/>
              </w:rPr>
            </w:pPr>
            <w:r w:rsidRPr="00137E69">
              <w:rPr>
                <w:rFonts w:ascii="Times New Roman" w:hAnsi="Times New Roman" w:cs="Times New Roman"/>
                <w:sz w:val="20"/>
              </w:rPr>
              <w:t>Целевой индикатор введен с 2018 года, на 2017 год приведено базовое значение</w:t>
            </w:r>
          </w:p>
        </w:tc>
      </w:tr>
      <w:tr w:rsidR="001D7D14" w:rsidRPr="00F26539" w:rsidTr="001938CC">
        <w:tc>
          <w:tcPr>
            <w:tcW w:w="784" w:type="pct"/>
            <w:vMerge/>
          </w:tcPr>
          <w:p w:rsidR="001D7D14" w:rsidRPr="00137E69" w:rsidRDefault="001D7D14" w:rsidP="00C569E9"/>
        </w:tc>
        <w:tc>
          <w:tcPr>
            <w:tcW w:w="949" w:type="pct"/>
          </w:tcPr>
          <w:p w:rsidR="001D7D14" w:rsidRPr="00137E69" w:rsidRDefault="001D7D14" w:rsidP="00C569E9">
            <w:pPr>
              <w:pStyle w:val="ConsPlusNormal"/>
              <w:rPr>
                <w:rFonts w:ascii="Times New Roman" w:hAnsi="Times New Roman" w:cs="Times New Roman"/>
                <w:sz w:val="20"/>
              </w:rPr>
            </w:pPr>
            <w:r w:rsidRPr="00137E69">
              <w:rPr>
                <w:rFonts w:ascii="Times New Roman" w:hAnsi="Times New Roman" w:cs="Times New Roman"/>
                <w:sz w:val="20"/>
              </w:rPr>
              <w:t>10. Количество обращений заявителей (получателей государственных и муниципальных услуг) в ГАУ НСО «МФЦ»</w:t>
            </w:r>
          </w:p>
        </w:tc>
        <w:tc>
          <w:tcPr>
            <w:tcW w:w="394"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ед. (в год)</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1 350 000</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1 750 000</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2 100 000</w:t>
            </w:r>
          </w:p>
        </w:tc>
        <w:tc>
          <w:tcPr>
            <w:tcW w:w="339"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2 172 260</w:t>
            </w:r>
          </w:p>
        </w:tc>
        <w:tc>
          <w:tcPr>
            <w:tcW w:w="339"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2 270 000</w:t>
            </w:r>
          </w:p>
        </w:tc>
        <w:tc>
          <w:tcPr>
            <w:tcW w:w="340"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2 270 000</w:t>
            </w:r>
          </w:p>
        </w:tc>
        <w:tc>
          <w:tcPr>
            <w:tcW w:w="342"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2 270 000</w:t>
            </w:r>
          </w:p>
        </w:tc>
        <w:tc>
          <w:tcPr>
            <w:tcW w:w="562" w:type="pct"/>
          </w:tcPr>
          <w:p w:rsidR="001D7D14" w:rsidRPr="00137E69" w:rsidRDefault="001D7D14" w:rsidP="00601FC4">
            <w:pPr>
              <w:pStyle w:val="ConsPlusNormal"/>
              <w:rPr>
                <w:rFonts w:ascii="Times New Roman" w:hAnsi="Times New Roman" w:cs="Times New Roman"/>
                <w:sz w:val="20"/>
              </w:rPr>
            </w:pPr>
          </w:p>
        </w:tc>
      </w:tr>
      <w:tr w:rsidR="001D7D14" w:rsidRPr="00F26539" w:rsidTr="00657404">
        <w:tc>
          <w:tcPr>
            <w:tcW w:w="784" w:type="pct"/>
            <w:vMerge/>
          </w:tcPr>
          <w:p w:rsidR="001D7D14" w:rsidRPr="00137E69" w:rsidRDefault="001D7D14" w:rsidP="00C569E9"/>
        </w:tc>
        <w:tc>
          <w:tcPr>
            <w:tcW w:w="949" w:type="pct"/>
          </w:tcPr>
          <w:p w:rsidR="001D7D14" w:rsidRPr="00137E69" w:rsidRDefault="001D7D14" w:rsidP="00657404">
            <w:pPr>
              <w:pStyle w:val="ConsPlusNormal"/>
              <w:rPr>
                <w:rFonts w:ascii="Times New Roman" w:hAnsi="Times New Roman" w:cs="Times New Roman"/>
                <w:sz w:val="20"/>
              </w:rPr>
            </w:pPr>
            <w:r w:rsidRPr="00137E69">
              <w:rPr>
                <w:rFonts w:ascii="Times New Roman" w:hAnsi="Times New Roman" w:cs="Times New Roman"/>
                <w:sz w:val="20"/>
              </w:rPr>
              <w:t>11. Количество обращений заявителей в окна обслуживания, ориентированные на предоставление государственных, муниципальных и дополнительных (сопутствующих) услуг субъектам малого и среднего предпринимательства</w:t>
            </w:r>
          </w:p>
        </w:tc>
        <w:tc>
          <w:tcPr>
            <w:tcW w:w="394"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ед. (в год)</w:t>
            </w:r>
          </w:p>
        </w:tc>
        <w:tc>
          <w:tcPr>
            <w:tcW w:w="317"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w:t>
            </w:r>
          </w:p>
        </w:tc>
        <w:tc>
          <w:tcPr>
            <w:tcW w:w="317"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0</w:t>
            </w:r>
          </w:p>
        </w:tc>
        <w:tc>
          <w:tcPr>
            <w:tcW w:w="317"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767</w:t>
            </w:r>
          </w:p>
        </w:tc>
        <w:tc>
          <w:tcPr>
            <w:tcW w:w="339"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4 500</w:t>
            </w:r>
          </w:p>
        </w:tc>
        <w:tc>
          <w:tcPr>
            <w:tcW w:w="339"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30 000</w:t>
            </w:r>
          </w:p>
        </w:tc>
        <w:tc>
          <w:tcPr>
            <w:tcW w:w="340"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30 000</w:t>
            </w:r>
          </w:p>
        </w:tc>
        <w:tc>
          <w:tcPr>
            <w:tcW w:w="342" w:type="pct"/>
          </w:tcPr>
          <w:p w:rsidR="001D7D14" w:rsidRPr="00137E69" w:rsidRDefault="001D7D14" w:rsidP="00657404">
            <w:pPr>
              <w:pStyle w:val="ConsPlusNormal"/>
              <w:jc w:val="center"/>
              <w:rPr>
                <w:rFonts w:ascii="Times New Roman" w:hAnsi="Times New Roman" w:cs="Times New Roman"/>
                <w:sz w:val="20"/>
              </w:rPr>
            </w:pPr>
            <w:r w:rsidRPr="00137E69">
              <w:rPr>
                <w:rFonts w:ascii="Times New Roman" w:hAnsi="Times New Roman" w:cs="Times New Roman"/>
                <w:sz w:val="20"/>
              </w:rPr>
              <w:t>30 000</w:t>
            </w:r>
          </w:p>
        </w:tc>
        <w:tc>
          <w:tcPr>
            <w:tcW w:w="562" w:type="pct"/>
          </w:tcPr>
          <w:p w:rsidR="001D7D14" w:rsidRPr="00137E69" w:rsidRDefault="001D7D14" w:rsidP="004F23DF">
            <w:pPr>
              <w:pStyle w:val="ConsPlusNormal"/>
              <w:rPr>
                <w:rFonts w:ascii="Times New Roman" w:hAnsi="Times New Roman" w:cs="Times New Roman"/>
                <w:sz w:val="20"/>
              </w:rPr>
            </w:pPr>
            <w:r w:rsidRPr="00137E69">
              <w:rPr>
                <w:rFonts w:ascii="Times New Roman" w:hAnsi="Times New Roman" w:cs="Times New Roman"/>
                <w:sz w:val="20"/>
              </w:rPr>
              <w:t>Целевой индикатор введен с 2016 года, на 2015 год приведено базовое значение</w:t>
            </w:r>
          </w:p>
        </w:tc>
      </w:tr>
      <w:tr w:rsidR="001D7D14" w:rsidRPr="00F26539" w:rsidTr="00DC0292">
        <w:tc>
          <w:tcPr>
            <w:tcW w:w="784" w:type="pct"/>
            <w:vMerge/>
          </w:tcPr>
          <w:p w:rsidR="001D7D14" w:rsidRPr="00137E69" w:rsidRDefault="001D7D14" w:rsidP="00C569E9">
            <w:pPr>
              <w:pStyle w:val="ConsPlusNormal"/>
              <w:jc w:val="both"/>
              <w:rPr>
                <w:rFonts w:ascii="Times New Roman" w:hAnsi="Times New Roman" w:cs="Times New Roman"/>
                <w:sz w:val="20"/>
              </w:rPr>
            </w:pPr>
          </w:p>
        </w:tc>
        <w:tc>
          <w:tcPr>
            <w:tcW w:w="949" w:type="pct"/>
          </w:tcPr>
          <w:p w:rsidR="001D7D14" w:rsidRPr="00137E69" w:rsidRDefault="001D7D14" w:rsidP="00582ABE">
            <w:pPr>
              <w:pStyle w:val="ConsPlusNormal"/>
              <w:rPr>
                <w:rFonts w:ascii="Times New Roman" w:hAnsi="Times New Roman" w:cs="Times New Roman"/>
                <w:sz w:val="20"/>
              </w:rPr>
            </w:pPr>
            <w:r w:rsidRPr="00137E69">
              <w:rPr>
                <w:rFonts w:ascii="Times New Roman" w:hAnsi="Times New Roman" w:cs="Times New Roman"/>
                <w:sz w:val="20"/>
              </w:rPr>
              <w:t xml:space="preserve">12. Доля государственных услуг, предоставляемых областными исполнительными органами государственной власти Новосибирской области по принципу «одного окна» на базе ГАУ НСО «МФЦ», от общего числа государственных услуг, предоставляемых областными исполнительными органами государственной власти Новосибирской области, </w:t>
            </w:r>
            <w:r w:rsidRPr="00137E69">
              <w:rPr>
                <w:rFonts w:ascii="Times New Roman" w:hAnsi="Times New Roman"/>
                <w:sz w:val="20"/>
              </w:rPr>
              <w:t>не имеющих законодательно установленных ограничений к предоставлению в МФЦ</w:t>
            </w:r>
          </w:p>
        </w:tc>
        <w:tc>
          <w:tcPr>
            <w:tcW w:w="394"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70,0</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317"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339"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339"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340"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342" w:type="pct"/>
          </w:tcPr>
          <w:p w:rsidR="001D7D14" w:rsidRPr="00137E69" w:rsidRDefault="001D7D14" w:rsidP="00C569E9">
            <w:pPr>
              <w:pStyle w:val="ConsPlusNormal"/>
              <w:jc w:val="center"/>
              <w:rPr>
                <w:rFonts w:ascii="Times New Roman" w:hAnsi="Times New Roman" w:cs="Times New Roman"/>
                <w:sz w:val="20"/>
              </w:rPr>
            </w:pPr>
            <w:r w:rsidRPr="00137E69">
              <w:rPr>
                <w:rFonts w:ascii="Times New Roman" w:hAnsi="Times New Roman" w:cs="Times New Roman"/>
                <w:sz w:val="20"/>
              </w:rPr>
              <w:t>85,0</w:t>
            </w:r>
          </w:p>
        </w:tc>
        <w:tc>
          <w:tcPr>
            <w:tcW w:w="562" w:type="pct"/>
          </w:tcPr>
          <w:p w:rsidR="001D7D14" w:rsidRPr="00137E69" w:rsidRDefault="001D7D14" w:rsidP="00C569E9">
            <w:pPr>
              <w:pStyle w:val="ConsPlusNormal"/>
              <w:rPr>
                <w:rFonts w:ascii="Times New Roman" w:hAnsi="Times New Roman" w:cs="Times New Roman"/>
                <w:sz w:val="20"/>
              </w:rPr>
            </w:pPr>
          </w:p>
        </w:tc>
      </w:tr>
      <w:tr w:rsidR="001D7D14" w:rsidRPr="00F26539" w:rsidTr="006D21B7">
        <w:tc>
          <w:tcPr>
            <w:tcW w:w="784" w:type="pct"/>
            <w:vMerge/>
          </w:tcPr>
          <w:p w:rsidR="001D7D14" w:rsidRPr="00137E69" w:rsidRDefault="001D7D14" w:rsidP="00C569E9"/>
        </w:tc>
        <w:tc>
          <w:tcPr>
            <w:tcW w:w="949" w:type="pct"/>
            <w:tcBorders>
              <w:bottom w:val="single" w:sz="4" w:space="0" w:color="auto"/>
            </w:tcBorders>
          </w:tcPr>
          <w:p w:rsidR="001D7D14" w:rsidRPr="00137E69" w:rsidRDefault="001D7D14" w:rsidP="00C569E9">
            <w:pPr>
              <w:pStyle w:val="ConsPlusCell"/>
              <w:rPr>
                <w:rFonts w:ascii="Times New Roman" w:hAnsi="Times New Roman" w:cs="Times New Roman"/>
              </w:rPr>
            </w:pPr>
            <w:r w:rsidRPr="00137E69">
              <w:rPr>
                <w:rFonts w:ascii="Times New Roman" w:hAnsi="Times New Roman" w:cs="Times New Roman"/>
              </w:rPr>
              <w:t>13. Доля регламентированных государственных услуг, предоставляемых федеральными органами исполнительной власти и органами государственных внебюджетных фондов по принципу «одного окна» на базе ГАУ НСО «МФЦ»</w:t>
            </w:r>
          </w:p>
        </w:tc>
        <w:tc>
          <w:tcPr>
            <w:tcW w:w="394" w:type="pct"/>
            <w:tcBorders>
              <w:bottom w:val="single" w:sz="4" w:space="0" w:color="auto"/>
            </w:tcBorders>
          </w:tcPr>
          <w:p w:rsidR="001D7D14" w:rsidRPr="00137E69" w:rsidRDefault="001D7D14" w:rsidP="00657404">
            <w:pPr>
              <w:widowControl w:val="0"/>
              <w:adjustRightInd w:val="0"/>
              <w:ind w:left="-57" w:right="-57"/>
              <w:jc w:val="center"/>
            </w:pPr>
            <w:r w:rsidRPr="00137E69">
              <w:t>%</w:t>
            </w:r>
          </w:p>
        </w:tc>
        <w:tc>
          <w:tcPr>
            <w:tcW w:w="317" w:type="pct"/>
            <w:tcBorders>
              <w:bottom w:val="single" w:sz="4" w:space="0" w:color="auto"/>
            </w:tcBorders>
          </w:tcPr>
          <w:p w:rsidR="001D7D14" w:rsidRPr="00137E69" w:rsidRDefault="001D7D14" w:rsidP="00657404">
            <w:pPr>
              <w:widowControl w:val="0"/>
              <w:adjustRightInd w:val="0"/>
              <w:jc w:val="center"/>
            </w:pPr>
            <w:r w:rsidRPr="00137E69">
              <w:t>-</w:t>
            </w:r>
          </w:p>
        </w:tc>
        <w:tc>
          <w:tcPr>
            <w:tcW w:w="317" w:type="pct"/>
            <w:tcBorders>
              <w:bottom w:val="single" w:sz="4" w:space="0" w:color="auto"/>
            </w:tcBorders>
          </w:tcPr>
          <w:p w:rsidR="001D7D14" w:rsidRPr="00137E69" w:rsidRDefault="001D7D14" w:rsidP="00657404">
            <w:pPr>
              <w:widowControl w:val="0"/>
              <w:adjustRightInd w:val="0"/>
              <w:jc w:val="center"/>
            </w:pPr>
            <w:r w:rsidRPr="00137E69">
              <w:t>-</w:t>
            </w:r>
          </w:p>
        </w:tc>
        <w:tc>
          <w:tcPr>
            <w:tcW w:w="317" w:type="pct"/>
            <w:tcBorders>
              <w:bottom w:val="single" w:sz="4" w:space="0" w:color="auto"/>
            </w:tcBorders>
          </w:tcPr>
          <w:p w:rsidR="001D7D14" w:rsidRPr="00137E69" w:rsidRDefault="001D7D14" w:rsidP="00657404">
            <w:pPr>
              <w:widowControl w:val="0"/>
              <w:adjustRightInd w:val="0"/>
              <w:jc w:val="center"/>
            </w:pPr>
            <w:r w:rsidRPr="00137E69">
              <w:t>-</w:t>
            </w:r>
          </w:p>
        </w:tc>
        <w:tc>
          <w:tcPr>
            <w:tcW w:w="339" w:type="pct"/>
            <w:tcBorders>
              <w:bottom w:val="single" w:sz="4" w:space="0" w:color="auto"/>
            </w:tcBorders>
          </w:tcPr>
          <w:p w:rsidR="001D7D14" w:rsidRPr="00137E69" w:rsidRDefault="001D7D14" w:rsidP="00657404">
            <w:pPr>
              <w:widowControl w:val="0"/>
              <w:adjustRightInd w:val="0"/>
              <w:ind w:left="-113" w:right="-113"/>
              <w:jc w:val="center"/>
            </w:pPr>
            <w:r w:rsidRPr="00137E69">
              <w:t>100</w:t>
            </w:r>
          </w:p>
        </w:tc>
        <w:tc>
          <w:tcPr>
            <w:tcW w:w="339" w:type="pct"/>
            <w:tcBorders>
              <w:bottom w:val="single" w:sz="4" w:space="0" w:color="auto"/>
            </w:tcBorders>
          </w:tcPr>
          <w:p w:rsidR="001D7D14" w:rsidRPr="00137E69" w:rsidRDefault="001D7D14" w:rsidP="00657404">
            <w:pPr>
              <w:widowControl w:val="0"/>
              <w:adjustRightInd w:val="0"/>
              <w:ind w:left="-113" w:right="-113"/>
              <w:jc w:val="center"/>
            </w:pPr>
            <w:r w:rsidRPr="00137E69">
              <w:t>100</w:t>
            </w:r>
          </w:p>
        </w:tc>
        <w:tc>
          <w:tcPr>
            <w:tcW w:w="340" w:type="pct"/>
            <w:tcBorders>
              <w:bottom w:val="single" w:sz="4" w:space="0" w:color="auto"/>
            </w:tcBorders>
          </w:tcPr>
          <w:p w:rsidR="001D7D14" w:rsidRPr="00137E69" w:rsidRDefault="001D7D14" w:rsidP="00657404">
            <w:pPr>
              <w:widowControl w:val="0"/>
              <w:adjustRightInd w:val="0"/>
              <w:ind w:left="-113" w:right="-113"/>
              <w:jc w:val="center"/>
            </w:pPr>
            <w:r w:rsidRPr="00137E69">
              <w:t>100</w:t>
            </w:r>
          </w:p>
        </w:tc>
        <w:tc>
          <w:tcPr>
            <w:tcW w:w="342" w:type="pct"/>
            <w:tcBorders>
              <w:bottom w:val="single" w:sz="4" w:space="0" w:color="auto"/>
            </w:tcBorders>
          </w:tcPr>
          <w:p w:rsidR="001D7D14" w:rsidRPr="00137E69" w:rsidRDefault="001D7D14" w:rsidP="00657404">
            <w:pPr>
              <w:widowControl w:val="0"/>
              <w:adjustRightInd w:val="0"/>
              <w:ind w:left="-113" w:right="-113"/>
              <w:jc w:val="center"/>
            </w:pPr>
            <w:r w:rsidRPr="00137E69">
              <w:t>100</w:t>
            </w:r>
          </w:p>
        </w:tc>
        <w:tc>
          <w:tcPr>
            <w:tcW w:w="562" w:type="pct"/>
            <w:tcBorders>
              <w:bottom w:val="single" w:sz="4" w:space="0" w:color="auto"/>
            </w:tcBorders>
          </w:tcPr>
          <w:p w:rsidR="001D7D14" w:rsidRPr="00137E69" w:rsidRDefault="001D7D14" w:rsidP="004F23DF">
            <w:pPr>
              <w:pStyle w:val="ConsPlusNormal"/>
              <w:rPr>
                <w:rFonts w:ascii="Times New Roman" w:hAnsi="Times New Roman" w:cs="Times New Roman"/>
                <w:sz w:val="20"/>
              </w:rPr>
            </w:pPr>
            <w:r w:rsidRPr="00137E69">
              <w:rPr>
                <w:rFonts w:ascii="Times New Roman" w:hAnsi="Times New Roman" w:cs="Times New Roman"/>
                <w:sz w:val="20"/>
              </w:rPr>
              <w:t>Целевой индикатор введен с 2018 года, на 2017 год приведено базовое значение</w:t>
            </w:r>
          </w:p>
        </w:tc>
      </w:tr>
      <w:tr w:rsidR="001D7D14" w:rsidRPr="00F26539" w:rsidTr="000C0253">
        <w:tblPrEx>
          <w:tblBorders>
            <w:insideH w:val="nil"/>
          </w:tblBorders>
        </w:tblPrEx>
        <w:tc>
          <w:tcPr>
            <w:tcW w:w="784" w:type="pct"/>
            <w:vMerge/>
            <w:tcBorders>
              <w:bottom w:val="single" w:sz="4" w:space="0" w:color="auto"/>
            </w:tcBorders>
          </w:tcPr>
          <w:p w:rsidR="001D7D14" w:rsidRPr="00137E69" w:rsidRDefault="001D7D14" w:rsidP="00C569E9"/>
        </w:tc>
        <w:tc>
          <w:tcPr>
            <w:tcW w:w="949" w:type="pct"/>
            <w:tcBorders>
              <w:top w:val="single" w:sz="4" w:space="0" w:color="auto"/>
              <w:bottom w:val="single" w:sz="4" w:space="0" w:color="auto"/>
            </w:tcBorders>
          </w:tcPr>
          <w:p w:rsidR="001D7D14" w:rsidRPr="00137E69" w:rsidRDefault="001D7D14" w:rsidP="00C569E9">
            <w:pPr>
              <w:pStyle w:val="ConsPlusCell"/>
              <w:rPr>
                <w:rFonts w:ascii="Times New Roman" w:hAnsi="Times New Roman" w:cs="Times New Roman"/>
              </w:rPr>
            </w:pPr>
            <w:r w:rsidRPr="00137E69">
              <w:rPr>
                <w:rFonts w:ascii="Times New Roman" w:hAnsi="Times New Roman" w:cs="Times New Roman"/>
              </w:rPr>
              <w:t>14. Доля администраций городских округов, муниципальных районов и административных центров муниципальных районов, предоставляющих муниципальные услуги по принципу «одного окна» на базе ГАУ НСО «МФЦ»</w:t>
            </w:r>
          </w:p>
        </w:tc>
        <w:tc>
          <w:tcPr>
            <w:tcW w:w="394" w:type="pct"/>
            <w:tcBorders>
              <w:top w:val="single" w:sz="4" w:space="0" w:color="auto"/>
              <w:bottom w:val="single" w:sz="4" w:space="0" w:color="auto"/>
            </w:tcBorders>
          </w:tcPr>
          <w:p w:rsidR="001D7D14" w:rsidRPr="00137E69" w:rsidRDefault="001D7D14" w:rsidP="00657404">
            <w:pPr>
              <w:widowControl w:val="0"/>
              <w:adjustRightInd w:val="0"/>
              <w:ind w:left="-57" w:right="-57"/>
              <w:jc w:val="center"/>
            </w:pPr>
            <w:r w:rsidRPr="00137E69">
              <w:t>%</w:t>
            </w:r>
          </w:p>
        </w:tc>
        <w:tc>
          <w:tcPr>
            <w:tcW w:w="317" w:type="pct"/>
            <w:tcBorders>
              <w:top w:val="single" w:sz="4" w:space="0" w:color="auto"/>
              <w:bottom w:val="single" w:sz="4" w:space="0" w:color="auto"/>
            </w:tcBorders>
          </w:tcPr>
          <w:p w:rsidR="001D7D14" w:rsidRPr="00137E69" w:rsidRDefault="001D7D14" w:rsidP="00657404">
            <w:pPr>
              <w:widowControl w:val="0"/>
              <w:adjustRightInd w:val="0"/>
              <w:jc w:val="center"/>
            </w:pPr>
            <w:r w:rsidRPr="00137E69">
              <w:t>-</w:t>
            </w:r>
          </w:p>
        </w:tc>
        <w:tc>
          <w:tcPr>
            <w:tcW w:w="317" w:type="pct"/>
            <w:tcBorders>
              <w:top w:val="single" w:sz="4" w:space="0" w:color="auto"/>
              <w:bottom w:val="single" w:sz="4" w:space="0" w:color="auto"/>
            </w:tcBorders>
          </w:tcPr>
          <w:p w:rsidR="001D7D14" w:rsidRPr="00137E69" w:rsidRDefault="001D7D14" w:rsidP="00657404">
            <w:pPr>
              <w:widowControl w:val="0"/>
              <w:adjustRightInd w:val="0"/>
              <w:jc w:val="center"/>
            </w:pPr>
            <w:r w:rsidRPr="00137E69">
              <w:t>-</w:t>
            </w:r>
          </w:p>
        </w:tc>
        <w:tc>
          <w:tcPr>
            <w:tcW w:w="317" w:type="pct"/>
            <w:tcBorders>
              <w:top w:val="single" w:sz="4" w:space="0" w:color="auto"/>
              <w:bottom w:val="single" w:sz="4" w:space="0" w:color="auto"/>
            </w:tcBorders>
          </w:tcPr>
          <w:p w:rsidR="001D7D14" w:rsidRPr="00137E69" w:rsidRDefault="001D7D14" w:rsidP="00657404">
            <w:pPr>
              <w:widowControl w:val="0"/>
              <w:adjustRightInd w:val="0"/>
              <w:jc w:val="center"/>
            </w:pPr>
            <w:r w:rsidRPr="00137E69">
              <w:t>-</w:t>
            </w:r>
          </w:p>
        </w:tc>
        <w:tc>
          <w:tcPr>
            <w:tcW w:w="339" w:type="pct"/>
            <w:tcBorders>
              <w:top w:val="single" w:sz="4" w:space="0" w:color="auto"/>
              <w:bottom w:val="single" w:sz="4" w:space="0" w:color="auto"/>
            </w:tcBorders>
          </w:tcPr>
          <w:p w:rsidR="001D7D14" w:rsidRPr="00137E69" w:rsidRDefault="001D7D14" w:rsidP="00657404">
            <w:pPr>
              <w:widowControl w:val="0"/>
              <w:adjustRightInd w:val="0"/>
              <w:ind w:left="-113" w:right="-113"/>
              <w:jc w:val="center"/>
            </w:pPr>
            <w:r w:rsidRPr="00137E69">
              <w:t>95</w:t>
            </w:r>
          </w:p>
        </w:tc>
        <w:tc>
          <w:tcPr>
            <w:tcW w:w="339" w:type="pct"/>
            <w:tcBorders>
              <w:top w:val="single" w:sz="4" w:space="0" w:color="auto"/>
              <w:bottom w:val="single" w:sz="4" w:space="0" w:color="auto"/>
            </w:tcBorders>
          </w:tcPr>
          <w:p w:rsidR="001D7D14" w:rsidRPr="00137E69" w:rsidRDefault="001D7D14" w:rsidP="00657404">
            <w:pPr>
              <w:widowControl w:val="0"/>
              <w:adjustRightInd w:val="0"/>
              <w:ind w:left="-113" w:right="-113"/>
              <w:jc w:val="center"/>
            </w:pPr>
            <w:r w:rsidRPr="00137E69">
              <w:t>100</w:t>
            </w:r>
          </w:p>
        </w:tc>
        <w:tc>
          <w:tcPr>
            <w:tcW w:w="340" w:type="pct"/>
            <w:tcBorders>
              <w:top w:val="single" w:sz="4" w:space="0" w:color="auto"/>
              <w:bottom w:val="single" w:sz="4" w:space="0" w:color="auto"/>
            </w:tcBorders>
          </w:tcPr>
          <w:p w:rsidR="001D7D14" w:rsidRPr="00137E69" w:rsidRDefault="001D7D14" w:rsidP="00657404">
            <w:pPr>
              <w:widowControl w:val="0"/>
              <w:adjustRightInd w:val="0"/>
              <w:ind w:left="-113" w:right="-113"/>
              <w:jc w:val="center"/>
            </w:pPr>
            <w:r w:rsidRPr="00137E69">
              <w:t>100</w:t>
            </w:r>
          </w:p>
        </w:tc>
        <w:tc>
          <w:tcPr>
            <w:tcW w:w="342" w:type="pct"/>
            <w:tcBorders>
              <w:top w:val="single" w:sz="4" w:space="0" w:color="auto"/>
              <w:bottom w:val="single" w:sz="4" w:space="0" w:color="auto"/>
            </w:tcBorders>
          </w:tcPr>
          <w:p w:rsidR="001D7D14" w:rsidRPr="00137E69" w:rsidRDefault="001D7D14" w:rsidP="00657404">
            <w:pPr>
              <w:widowControl w:val="0"/>
              <w:adjustRightInd w:val="0"/>
              <w:ind w:left="-113" w:right="-113"/>
              <w:jc w:val="center"/>
            </w:pPr>
            <w:r w:rsidRPr="00137E69">
              <w:t>100</w:t>
            </w:r>
          </w:p>
        </w:tc>
        <w:tc>
          <w:tcPr>
            <w:tcW w:w="562" w:type="pct"/>
            <w:tcBorders>
              <w:top w:val="single" w:sz="4" w:space="0" w:color="auto"/>
              <w:bottom w:val="single" w:sz="4" w:space="0" w:color="auto"/>
            </w:tcBorders>
          </w:tcPr>
          <w:p w:rsidR="001D7D14" w:rsidRPr="00137E69" w:rsidRDefault="001D7D14" w:rsidP="004F23DF">
            <w:pPr>
              <w:pStyle w:val="ConsPlusNormal"/>
              <w:rPr>
                <w:rFonts w:ascii="Times New Roman" w:hAnsi="Times New Roman" w:cs="Times New Roman"/>
                <w:sz w:val="20"/>
              </w:rPr>
            </w:pPr>
            <w:r w:rsidRPr="00137E69">
              <w:rPr>
                <w:rFonts w:ascii="Times New Roman" w:hAnsi="Times New Roman" w:cs="Times New Roman"/>
                <w:sz w:val="20"/>
              </w:rPr>
              <w:t>Целевой индикатор введен с 2018 года, на 2017 год приведено базовое значение</w:t>
            </w:r>
          </w:p>
        </w:tc>
      </w:tr>
    </w:tbl>
    <w:p w:rsidR="00F26539" w:rsidRDefault="00F26539" w:rsidP="00AC163C">
      <w:pPr>
        <w:pStyle w:val="ConsPlusNormal"/>
        <w:jc w:val="both"/>
        <w:rPr>
          <w:rFonts w:ascii="Times New Roman" w:hAnsi="Times New Roman" w:cs="Times New Roman"/>
        </w:rPr>
      </w:pPr>
    </w:p>
    <w:p w:rsidR="00137E69" w:rsidRDefault="00137E69" w:rsidP="00AC163C">
      <w:pPr>
        <w:pStyle w:val="ConsPlusNormal"/>
        <w:jc w:val="both"/>
        <w:rPr>
          <w:rFonts w:ascii="Times New Roman" w:hAnsi="Times New Roman" w:cs="Times New Roman"/>
        </w:rPr>
      </w:pPr>
    </w:p>
    <w:p w:rsidR="00137E69" w:rsidRPr="00601FC4" w:rsidRDefault="00137E69" w:rsidP="00AC163C">
      <w:pPr>
        <w:pStyle w:val="ConsPlusNormal"/>
        <w:jc w:val="both"/>
        <w:rPr>
          <w:rFonts w:ascii="Times New Roman" w:hAnsi="Times New Roman" w:cs="Times New Roman"/>
        </w:rPr>
      </w:pPr>
      <w:bookmarkStart w:id="1" w:name="_GoBack"/>
      <w:bookmarkEnd w:id="1"/>
    </w:p>
    <w:p w:rsidR="00F26539" w:rsidRPr="00601FC4" w:rsidRDefault="00F26539" w:rsidP="00137E69">
      <w:pPr>
        <w:pStyle w:val="ConsPlusNormal"/>
        <w:jc w:val="both"/>
        <w:rPr>
          <w:rFonts w:ascii="Times New Roman" w:hAnsi="Times New Roman" w:cs="Times New Roman"/>
        </w:rPr>
      </w:pPr>
      <w:r w:rsidRPr="00601FC4">
        <w:rPr>
          <w:rFonts w:ascii="Times New Roman" w:hAnsi="Times New Roman" w:cs="Times New Roman"/>
        </w:rPr>
        <w:t>Применяемые сокращения:</w:t>
      </w:r>
    </w:p>
    <w:p w:rsidR="00F26539" w:rsidRPr="00601FC4" w:rsidRDefault="00F26539" w:rsidP="00137E69">
      <w:pPr>
        <w:pStyle w:val="ConsPlusNormal"/>
        <w:jc w:val="both"/>
        <w:rPr>
          <w:rFonts w:ascii="Times New Roman" w:hAnsi="Times New Roman" w:cs="Times New Roman"/>
        </w:rPr>
      </w:pPr>
      <w:r w:rsidRPr="00601FC4">
        <w:rPr>
          <w:rFonts w:ascii="Times New Roman" w:hAnsi="Times New Roman" w:cs="Times New Roman"/>
        </w:rPr>
        <w:t xml:space="preserve">ГАУ НСО </w:t>
      </w:r>
      <w:r w:rsidR="00601FC4">
        <w:rPr>
          <w:rFonts w:ascii="Times New Roman" w:hAnsi="Times New Roman" w:cs="Times New Roman"/>
        </w:rPr>
        <w:t xml:space="preserve">«МФЦ» </w:t>
      </w:r>
      <w:r w:rsidR="00601FC4" w:rsidRPr="00657404">
        <w:rPr>
          <w:rFonts w:ascii="Times New Roman" w:hAnsi="Times New Roman" w:cs="Times New Roman"/>
        </w:rPr>
        <w:t>-</w:t>
      </w:r>
      <w:r w:rsidRPr="00601FC4">
        <w:rPr>
          <w:rFonts w:ascii="Times New Roman" w:hAnsi="Times New Roman" w:cs="Times New Roman"/>
        </w:rPr>
        <w:t xml:space="preserve"> государственное автономное учреждение Новосибирской области </w:t>
      </w:r>
      <w:r w:rsidR="00657404">
        <w:rPr>
          <w:rFonts w:ascii="Times New Roman" w:hAnsi="Times New Roman" w:cs="Times New Roman"/>
        </w:rPr>
        <w:t>«</w:t>
      </w:r>
      <w:r w:rsidRPr="00601FC4">
        <w:rPr>
          <w:rFonts w:ascii="Times New Roman" w:hAnsi="Times New Roman" w:cs="Times New Roman"/>
        </w:rPr>
        <w:t>Многофункциональный центр организации предоставления государственных и муниципальных услуг Новосибирской области</w:t>
      </w:r>
      <w:r w:rsidR="00657404">
        <w:rPr>
          <w:rFonts w:ascii="Times New Roman" w:hAnsi="Times New Roman" w:cs="Times New Roman"/>
        </w:rPr>
        <w:t>»</w:t>
      </w:r>
      <w:r w:rsidRPr="00601FC4">
        <w:rPr>
          <w:rFonts w:ascii="Times New Roman" w:hAnsi="Times New Roman" w:cs="Times New Roman"/>
        </w:rPr>
        <w:t>;</w:t>
      </w:r>
    </w:p>
    <w:p w:rsidR="00775713" w:rsidRPr="00601FC4" w:rsidRDefault="00F26539" w:rsidP="00137E69">
      <w:pPr>
        <w:pStyle w:val="ConsPlusNormal"/>
        <w:jc w:val="both"/>
      </w:pPr>
      <w:r w:rsidRPr="00601FC4">
        <w:rPr>
          <w:rFonts w:ascii="Times New Roman" w:hAnsi="Times New Roman" w:cs="Times New Roman"/>
        </w:rPr>
        <w:t>МФЦ - многофункциональные центры предоставления государственных и муниципальных услуг.</w:t>
      </w:r>
    </w:p>
    <w:sectPr w:rsidR="00775713" w:rsidRPr="00601FC4" w:rsidSect="00137E69">
      <w:pgSz w:w="16838" w:h="11906" w:orient="landscape" w:code="9"/>
      <w:pgMar w:top="1135"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39"/>
    <w:rsid w:val="00137E69"/>
    <w:rsid w:val="001D7D14"/>
    <w:rsid w:val="00444309"/>
    <w:rsid w:val="00582ABE"/>
    <w:rsid w:val="00601FC4"/>
    <w:rsid w:val="00657404"/>
    <w:rsid w:val="009A4783"/>
    <w:rsid w:val="00A0440D"/>
    <w:rsid w:val="00AC163C"/>
    <w:rsid w:val="00B07A20"/>
    <w:rsid w:val="00F2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3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657404"/>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3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657404"/>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C4B222-3FB5-484A-AF0C-5B435269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Ханко Людмила Викторовна</dc:creator>
  <cp:lastModifiedBy>Чмель Екатерина Сергеевна</cp:lastModifiedBy>
  <cp:revision>5</cp:revision>
  <dcterms:created xsi:type="dcterms:W3CDTF">2017-11-28T09:12:00Z</dcterms:created>
  <dcterms:modified xsi:type="dcterms:W3CDTF">2017-11-29T05:06:00Z</dcterms:modified>
</cp:coreProperties>
</file>