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ind w:left="5103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ПРИЛОЖЕНИЕ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79"/>
        <w:ind w:left="5103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79"/>
        <w:ind w:left="5103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79"/>
        <w:ind w:left="5103" w:firstLine="0"/>
        <w:jc w:val="center"/>
        <w:spacing w:before="0"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Style w:val="679"/>
        <w:ind w:left="5103" w:firstLine="0"/>
        <w:jc w:val="center"/>
        <w:spacing w:before="0"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Style w:val="679"/>
        <w:numPr>
          <w:ilvl w:val="0"/>
          <w:numId w:val="0"/>
        </w:numPr>
        <w:ind w:left="5103" w:firstLine="0"/>
        <w:jc w:val="center"/>
        <w:spacing w:before="0" w:after="0" w:line="240" w:lineRule="auto"/>
        <w:rPr>
          <w:rFonts w:ascii="Times New Roman" w:hAnsi="Times New Roman" w:eastAsia="Calibri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«П</w:t>
      </w:r>
      <w:r>
        <w:rPr>
          <w:rFonts w:ascii="Times New Roman" w:hAnsi="Times New Roman" w:eastAsia="Calibri"/>
          <w:sz w:val="28"/>
          <w:szCs w:val="28"/>
        </w:rPr>
        <w:t xml:space="preserve">РИЛОЖЕНИЕ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679"/>
        <w:ind w:left="5103" w:firstLine="0"/>
        <w:jc w:val="center"/>
        <w:spacing w:before="0"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к постановлению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679"/>
        <w:ind w:left="5103" w:firstLine="0"/>
        <w:jc w:val="center"/>
        <w:spacing w:before="0"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Правительства Новосибирской области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679"/>
        <w:ind w:left="5103" w:firstLine="0"/>
        <w:jc w:val="center"/>
        <w:spacing w:before="0"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22.03.2022 № 107-п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679"/>
        <w:ind w:left="6237" w:firstLine="0"/>
        <w:jc w:val="center"/>
        <w:spacing w:before="0"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Style w:val="679"/>
        <w:ind w:left="6237" w:firstLine="0"/>
        <w:jc w:val="center"/>
        <w:spacing w:before="0"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Style w:val="679"/>
        <w:ind w:left="6237" w:firstLine="0"/>
        <w:jc w:val="center"/>
        <w:spacing w:before="0" w:after="0" w:line="240" w:lineRule="auto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Style w:val="679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ПОРЯДОК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679"/>
        <w:jc w:val="center"/>
        <w:spacing w:before="0" w:after="0" w:line="240" w:lineRule="auto"/>
        <w:rPr>
          <w:rFonts w:ascii="Times New Roman" w:hAnsi="Times New Roman" w:eastAsia="Calibri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/>
          <w:b/>
          <w:sz w:val="28"/>
          <w:szCs w:val="28"/>
          <w:highlight w:val="white"/>
        </w:rPr>
        <w:t xml:space="preserve">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государственных услуг в социальной сфере</w:t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Calibri"/>
          <w:b/>
          <w:bCs/>
          <w:sz w:val="28"/>
          <w:szCs w:val="28"/>
          <w:highlight w:val="none"/>
        </w:rPr>
      </w:r>
    </w:p>
    <w:p>
      <w:pPr>
        <w:pStyle w:val="67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white"/>
        </w:rPr>
      </w:r>
    </w:p>
    <w:p>
      <w:pPr>
        <w:pStyle w:val="679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1. Настоящий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Порядок устанавливает механизм предоставления субсидии из областного бюджета Новосибирской области юридическим лицам, индивидуальным предпринимателям (за исключением государственных (муниципальных) учреждений) (далее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исполнитель государственных услуг)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реализации Федерального </w:t>
      </w:r>
      <w:hyperlink r:id="rId9" w:tooltip="consultantplus://offline/ref=7B23E080179C9CDD218AFCD24998D589B2E55881103CA5BCE3B23CC924ED5205674EE625E87945133948669B36PDaDJ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закона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от 13.07.2020 № 189-ФЗ «О государственном (муниципальном) социальном заказе на оказание государственных (муниципальных) услуг в социальной сфере» (далее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 Федеральный закон  № 189-ФЗ)</w:t>
      </w:r>
      <w:r>
        <w:rPr>
          <w:rFonts w:ascii="Times New Roman" w:hAnsi="Times New Roman"/>
          <w:sz w:val="28"/>
          <w:szCs w:val="28"/>
          <w:highlight w:val="white"/>
        </w:rPr>
        <w:t xml:space="preserve">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государственных услуг в социальной сфере (далее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 субсидия):</w:t>
      </w:r>
      <w:r>
        <w:rPr>
          <w:rFonts w:ascii="Times New Roman" w:hAnsi="Times New Roman"/>
          <w:sz w:val="28"/>
          <w:szCs w:val="28"/>
          <w:highlight w:val="white"/>
        </w:rPr>
        <w:t xml:space="preserve"> оказание социальных услуг, предоставляемых гражданам при отсутствии определенного места жительства и занятий в полустационарной форме; организация сопровождения при содействии занятости инвалидов (далее –</w:t>
      </w:r>
      <w:r>
        <w:rPr>
          <w:rFonts w:ascii="Times New Roman" w:hAnsi="Times New Roman"/>
          <w:sz w:val="28"/>
          <w:szCs w:val="28"/>
        </w:rPr>
        <w:t xml:space="preserve"> государственные услуги).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79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 Выплата субсидии осуществляется министерством труда и социального развития Новосибирской области (далее 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уполномоченный орган) в соответствии со сводной бюджетной росписью и кассовым планом областного бюджета Новосибирской области в пределах лимитов бюджетных обязательств, выделенных уполномоченному органу на соответствующий финансовый год на указанные цели.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79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 Выплата субсидии осуществляется на основании соглашения о финансовом обеспечении (возмещении) затрат, связанных с оказанием государственных услуг в социальной сфере в соответствии с социальным сертификатом</w:t>
      </w:r>
      <w:r>
        <w:rPr>
          <w:rFonts w:ascii="Times New Roman" w:hAnsi="Times New Roman"/>
          <w:sz w:val="28"/>
          <w:szCs w:val="28"/>
        </w:rPr>
        <w:t xml:space="preserve"> (далее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 соглашение),</w:t>
      </w:r>
      <w:r>
        <w:rPr>
          <w:rFonts w:ascii="Times New Roman" w:hAnsi="Times New Roman"/>
          <w:sz w:val="28"/>
          <w:szCs w:val="28"/>
          <w:highlight w:val="white"/>
        </w:rPr>
        <w:t xml:space="preserve"> в порядке возмещения затрат.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 Отбор исполнителей государственных услуг осуществляется потребит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елями государственных услуг, имеющими право на получение государственных услуг в социальной сфере в соответствии с социальным сертификатом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потребитель государственных услуг),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либо законными представителями потребителей государственных услуг из реестра исполнителей государственных услуг в социальной сфере в соответствии с социальным сертификатом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реестр исполнителей государственных услуг).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 Субсидия предоставляется исполнителю государственных услуг при условии достижения показателей, характеризующих качество и (или) объем оказания государственных услуг: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государственной услуги по оказанию социальных услуг, предоставляемых гражданам при отсутствии определенного места жительства и занятий в полустационарной форме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 – услуга по социальному обслуживанию)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если объем предоставленной услуги составляет не менее 21 дня;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государственной услуги по организации сопровождения при содействии занятости инвалидов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 – услуга по содействию занятости инвалидов) 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если по результатам оказания государственной услуги достигнут качественный показатель (оформление трудовых отношений между получателем государственной услуги и работодателем).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 В целях исполнения государственного социального заказа на оказание государственных услуг в социальной сфере, отнесенных к полномочиям областных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исполнительных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Новосибирской области, уполномоченный орган заключает соглашения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одержащие информацию о предельном объеме оказания услуг: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социальному обслуживанию - с исполнителями государственных услуг, состоящими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реестре исполнителей государственных услуг в социальной сфере в соответствии с социальным сертификатом, - ежегодно не позднее 30 января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содействию занятости инвалидов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с исполнителями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состоящими в реестре исполнителей государственных услуг в сфере содействия занятости населения, - ежегодно не позднее 1 марта.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Заключать договор с потребителем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исполнитель государственных услуг вправе только при наличии действующего в текущем году соглашения с уполномоченным органом.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для заключения соглашения представляется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исполнителем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форме, установленной приказом уполномоченного органа,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приложением копий документов, подтверждающих личность и полномочия руководителя (индивидуального предпринимателя) или иного уполномоченного представителя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исполнителя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 государственных услуг, обратившийся для заключения соглашения, на дату подачи заявления подтверждает свое соответствие требованиям о включении в реестр исполнителей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луг,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требованиям,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установленным частью 3 статьи 9 Федерального закона № 189-ФЗ, пунктом 15 статьи 241 Бюджетного кодекса Российской Федерации (дал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 – Бюджетный кодекс), 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тем представления информации и документов.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и прилагаемые документы представляются в уполномоченный орган или направляются по почте заказным письмом с уведомлением о вручении.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и прилагаемые документы подлежат регистрации в течение одного рабочего дня со дня их поступления в уполномоченный орган.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 Основаниями для отказа исполнителю государственных услуг в заключении соглашения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отсутствие исполнителя государственных услуг в реестре исполнителей государственных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несоответствие на дату подачи заявления исполнителя государственной услуги требованиям, установленным частью 3 статьи 9 Федерального закона № 189-ФЗ, пунктом 15 статьи 241 Бюджетного кодекса;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недостоверность информации, представленной исполнителем государственных услуг при подаче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 Исполнитель государственных услуг несет ответственность за достоверность информации, указанной в заявлении и представленных документах,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 Уполномоченный орган в течение десяти рабочих дней со дня регистрации заявления принимает решение: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 заключении соглашения с исполнителем государственных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об отказе в заключении соглашения с исполнителем государственных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 Решение уполномоченного органа оформляется приказом уполномоченного органа.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 Взаимодействие уполномоченного органа и исполнителя государственных услуг при заключении и подписании соглашения, дополнительны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соглашений осуществляется посредством государственной интегрированной системы управления общественными финансами «Электронный бюджет» (далее – информационная система «Электронный бюджет») с использованием усиленных квалифицированных электронных подписей.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14. Соглашение, дополнительные соглашения 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ормируются в форме электронного документа в информационной системе «Электронный бюджет» и подписываются усиленными квалифицированными электронными подписями лиц, имеющими право действовать от имени уполномоченного органа,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исполнителя государственных услуг.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15. Соглашение, дополнительные соглашения заключаются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ffffff" w:themeColor="background1" w:fill="ffffff" w:themeFill="background1"/>
        </w:rPr>
        <w:t xml:space="preserve">типовыми формами, утвержденными министерством финансов и налоговой политики Новосибирской области,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соответствии с приказом Министерства финансов Российской Федерации от 01.09.2023 № 141н «Об утверждении типовой формы соглашения, заключаемого по результатам отбора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сполнителей государственных услуг в социальной сфере», постановлением Правительства Новосибирской области от 30.11.2021 № 488-п «О Порядке заключения в электронной форме и подписания усиленной квалифицированной электронной подписью лица, имеющего право дей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ствовать от имени соответствующего уполномоченного органа, исполнителя государственных услуг в социальной сфере, соглашений о финансовом обеспечении (возмещении) затрат, связанных с оказанием государственных услуг в социальной сфере в соответствии с социал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ьным сертификатом на получение государственной услуги в социальной сфере, и соглашений об оказании государственных услуг в социальной сфере, заключенных по результатам конкурса на заключение соглашения об оказании государственных услуг в социальной сфере».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 Оплата соглашений, в том числе с учетом принятых дополнительных соглашений, осуществляется путем предоставления субсидии исполнителю государственных услуг по факту оказания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u w:val="none"/>
        </w:rPr>
        <w:t xml:space="preserve">17.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Для перечисления субсидии исполнитель государственных услуг не  позднее десяти рабочих дней со дня оказания государственной услуги представляет в уполномоченный орган: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отчет об исполнении соглашения по форме, установленной соглашением;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перечень социальных сертификатов, по которым предоставлены государственн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 услуги, заверенный печатью исполнителя государственных услуг (при наличии печати) и подписью руководителя (индивидуального предпринимателя) или иного уполномоченного представителя (представляется по форме, установленной приказом уполномоченного органа);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копию акта об оказании государственной услуги потребителю государственных услуг (представляется по форме, установленной приказом уполномоченного органа, по каждому потребителю государственных услуг);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копию договора, заключенного между исполнителем государственных услуг с потребителем государственных услуг;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ию документа, подтверждающего достижение качественного показателя (по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услуге по содействию занятости инвалидов).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установлении факта представления не в полном объеме документов, указанных в пункте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u w:val="none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наличии в представленных документах подчисток, приписок и иных неоговоренных исправлений, уполномоченный орган в течение пяти рабочих дней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поступления документов направляет исполнителю государственных услуг уведомление о необходимости устранения нарушений, которые могут послужить причиной для  отказа в перечислении субсидии, в течении пяти рабочих дней со дня получения указанного уведомления.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 Для рассмотрения вопросов о перечислении субсидии создается комиссия по возмещению затрат, связанных с оказанием государственных услуг в социальной сфере в соответствии с социальным сертификато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(далее – комиссия).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 и порядок деятельности комиссии устанавливаются приказом уполномоченного органа.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Заседание комиссии проводится в течение 15 рабочих дней со дня поступления документов, указанных в пункте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для  принятия решения о перечислении субсидии. Заключение комиссии оформляется протоколом в течение двух рабочих дней со дня проведения заседания.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пяти рабочих дней со дня проведения заседания комиссии уполномоченный орган издает приказ о перечислении субсидии исполнителю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 – приказ о перечислении субсидии) либо </w:t>
      </w:r>
      <w:r>
        <w:rPr>
          <w:rFonts w:ascii="Times New Roman" w:hAnsi="Times New Roman" w:eastAsia="Arial" w:cs="Times New Roman" w:eastAsiaTheme="minorHAnsi"/>
          <w:sz w:val="28"/>
          <w:szCs w:val="28"/>
          <w:lang w:eastAsia="en-US"/>
        </w:rPr>
        <w:t xml:space="preserve">направляет исполнителю государственных услуг, которому отказано в перечислении субсидии, письменное уведомление об отказе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перечислении субсидии </w:t>
      </w:r>
      <w:r>
        <w:rPr>
          <w:rFonts w:ascii="Times New Roman" w:hAnsi="Times New Roman" w:eastAsia="Arial" w:cs="Times New Roman" w:eastAsiaTheme="minorHAnsi"/>
          <w:sz w:val="28"/>
          <w:szCs w:val="28"/>
          <w:lang w:eastAsia="en-US"/>
        </w:rPr>
        <w:t xml:space="preserve">с указанием причин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20.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Основания для отказа в перечислении субсидии: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выявление факта недостоверности информации, представленной исполнителем государственных услуг в соответствии с пунктом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неустранение исполнителем государственных услуг нарушений, указанных в уведомлении, предусмотренном пунктом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в срок, установленный в пункте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выявление факта несоответствия исполнителя государственных услуг на  дату подачи заявления требованиям, установленным частью 3 статьи 9 Федерального закона № 189-ФЗ, пунктом 15 статьи 241 Бюджетного кодекса;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невыполнение показателей, характеризующих качество и (или) объем оказания государственной услуги, установленных пунктом 5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21.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Исполнитель государственных услуг, которому отказано в перечислении субсидии в целях возмещения затрат по предоставлению государственной услуги, не вправе повторно обращаться в уполномоченный орган за возмещением по данной государственной услуге.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Перечисление субсидии исполнителю государственных услуг осуществляется в течение десяти рабочих дней со дня издания приказа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перечислени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указанный в соглашении счет, открытый исполнителю государственных услуг в соответствии с бюджетным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23.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Размер субсидии (Vсуб) определяется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Vсуб = Nz * Ki, 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Nz – сумма нормативных затрат на оказание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Ki – количество потребителей государственных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24. Уполномоченный орган и органы государственного финансового контроля осуществляют контроль в соответствии со статьей 26 Федерального закона № 189-ФЗ.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25. Возврат субсидии (части субсидии) в случае нарушения исполнителем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 условий, определенных соглашением, осуществляется в объеме, определенном согласно пункту 26 настоящего Порядка, в следующих случаях: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недостижение исполнителем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 согласно представленному отчету по результатам отчетного года показателей, характеризующих объем оказания государственной услуги, с учетом допустимого (возможного) отклонения, установленного соглашением;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недостижение исполнителем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 по результатам отчетного года показателей, характеризующих объем оказания государств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услуги, с учетом допустимого (возможного) отклонения, установленного соглашением, выявленное по фактам проверок, проведенных уполномоченным органом и (или) органами государственного финансового контроля в соответствии с пунктом 24 настоящего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Уведомление о возврате субсидии (далее – уведомление о возврате) направляется уполномоченным органом исполнителю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услуг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срок не позднее 15 рабочих дней с даты установления случая, предусмотренного настоящим пунктом.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Возврат субсидии (части субсидии) осуществляется исполните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</w:rPr>
        <w:t xml:space="preserve">лем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течение семи рабочих дней со дня получения уведомления о возврате уполномоченного органа.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26. Расчет суммы субсидии (части субсидии), подлежащей возврату в областной бюджет в соответствии с пунктом 25 настоящего Порядка, осуществляется по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Увоз = Ci х Oin, где: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Увоз – объем субсидии для предоставления государственных услуг в социальной сфере в соответствии с социальным сертификатом, подлежащий возврату;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Oin – отклонение объема оказания государственной услуги сверх установленных предельно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допустимых отклонений (признанный не исполненным сверх установленных предельно допустимых отклонений в ходе контрольных мероприятий), возмещение затрат выполнения социального заказа по которым осуществлено уполномоченным органом;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Ci – стоимость государственной услуги, определенной на основании нормативных затрат на оказание государственной услуги в социальной сфере, утвержденных приказом уполномоченного органа.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27. Суммы субсидии, излишне выплаченные испол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следствии счетной ошибки, подлежат возврату в областной бюджет в течение семи рабочих дней со дня получения исполните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  <w:t xml:space="preserve">лем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возврате уполномоченного органа о возврате суммы субсидии, излишне выплаченной исполнителю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услуг вследствие счетной ошибки.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Уведомление о возврате направляется уполномоченным органом исполните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auto"/>
        </w:rPr>
        <w:t xml:space="preserve">лю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услуг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течении 15 рабочих дней со дня обнаружения счетной ошибки.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28. В случае невозврат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исполнителем услуги или возврата не в полном объеме средств субсидии в сроки, установленные пунктами 25, 27 настоящего Порядка, их взыскание осуществляется уполномоченным органом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29. Исполнитель государственных услуг несет ответственность за нарушение требований, установленных Федеральным законом № 189-ФЗ, настоящего Порядка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9"/>
        <w:contextualSpacing/>
        <w:jc w:val="center"/>
        <w:spacing w:before="0" w:after="0" w:line="240" w:lineRule="auto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679"/>
        <w:contextualSpacing/>
        <w:jc w:val="center"/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79"/>
        <w:contextualSpacing/>
        <w:jc w:val="center"/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79"/>
        <w:contextualSpacing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7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675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676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677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678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67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680">
    <w:name w:val="Heading 1"/>
    <w:basedOn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0">
    <w:name w:val="Heading 2 Char"/>
    <w:uiPriority w:val="9"/>
    <w:qFormat/>
    <w:rPr>
      <w:rFonts w:ascii="Arial" w:hAnsi="Arial" w:eastAsia="Arial" w:cs="Arial"/>
      <w:sz w:val="34"/>
    </w:rPr>
  </w:style>
  <w:style w:type="character" w:styleId="69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8">
    <w:name w:val="Title Char"/>
    <w:uiPriority w:val="10"/>
    <w:qFormat/>
    <w:rPr>
      <w:sz w:val="48"/>
      <w:szCs w:val="48"/>
    </w:rPr>
  </w:style>
  <w:style w:type="character" w:styleId="699">
    <w:name w:val="Subtitle Char"/>
    <w:uiPriority w:val="11"/>
    <w:qFormat/>
    <w:rPr>
      <w:sz w:val="24"/>
      <w:szCs w:val="24"/>
    </w:rPr>
  </w:style>
  <w:style w:type="character" w:styleId="700">
    <w:name w:val="Quote Char"/>
    <w:uiPriority w:val="29"/>
    <w:qFormat/>
    <w:rPr>
      <w:i/>
    </w:rPr>
  </w:style>
  <w:style w:type="character" w:styleId="701">
    <w:name w:val="Intense Quote Char"/>
    <w:uiPriority w:val="30"/>
    <w:qFormat/>
    <w:rPr>
      <w:i/>
    </w:rPr>
  </w:style>
  <w:style w:type="character" w:styleId="702">
    <w:name w:val="Header Char"/>
    <w:uiPriority w:val="99"/>
    <w:qFormat/>
  </w:style>
  <w:style w:type="character" w:styleId="703">
    <w:name w:val="Footer Char"/>
    <w:uiPriority w:val="99"/>
    <w:qFormat/>
  </w:style>
  <w:style w:type="character" w:styleId="704">
    <w:name w:val="Caption Char"/>
    <w:uiPriority w:val="99"/>
    <w:qFormat/>
  </w:style>
  <w:style w:type="character" w:styleId="705">
    <w:name w:val="Hyperlink"/>
    <w:uiPriority w:val="99"/>
    <w:unhideWhenUsed/>
    <w:rPr>
      <w:color w:val="0000ff" w:themeColor="hyperlink"/>
      <w:u w:val="single"/>
    </w:rPr>
  </w:style>
  <w:style w:type="character" w:styleId="706">
    <w:name w:val="Footnote Text Char"/>
    <w:uiPriority w:val="99"/>
    <w:qFormat/>
    <w:rPr>
      <w:sz w:val="18"/>
    </w:rPr>
  </w:style>
  <w:style w:type="character" w:styleId="707">
    <w:name w:val="Символ сноски"/>
    <w:qFormat/>
    <w:rPr>
      <w:vertAlign w:val="superscript"/>
    </w:rPr>
  </w:style>
  <w:style w:type="character" w:styleId="708">
    <w:name w:val="footnote reference"/>
    <w:rPr>
      <w:vertAlign w:val="superscript"/>
    </w:rPr>
  </w:style>
  <w:style w:type="character" w:styleId="709">
    <w:name w:val="Footnote Characters"/>
    <w:uiPriority w:val="99"/>
    <w:unhideWhenUsed/>
    <w:qFormat/>
    <w:rPr>
      <w:vertAlign w:val="superscript"/>
    </w:rPr>
  </w:style>
  <w:style w:type="character" w:styleId="710">
    <w:name w:val="Endnote Text Char"/>
    <w:uiPriority w:val="99"/>
    <w:qFormat/>
    <w:rPr>
      <w:sz w:val="20"/>
    </w:rPr>
  </w:style>
  <w:style w:type="character" w:styleId="711">
    <w:name w:val="Символ концевой сноски"/>
    <w:qFormat/>
    <w:rPr>
      <w:vertAlign w:val="superscript"/>
    </w:rPr>
  </w:style>
  <w:style w:type="character" w:styleId="712">
    <w:name w:val="endnote reference"/>
    <w:rPr>
      <w:vertAlign w:val="superscript"/>
    </w:rPr>
  </w:style>
  <w:style w:type="character" w:styleId="713">
    <w:name w:val="Endnote Characters"/>
    <w:uiPriority w:val="99"/>
    <w:semiHidden/>
    <w:unhideWhenUsed/>
    <w:qFormat/>
    <w:rPr>
      <w:vertAlign w:val="superscript"/>
    </w:rPr>
  </w:style>
  <w:style w:type="character" w:styleId="714">
    <w:name w:val="Основной шрифт абзаца"/>
    <w:uiPriority w:val="1"/>
    <w:unhideWhenUsed/>
    <w:qFormat/>
  </w:style>
  <w:style w:type="character" w:styleId="715">
    <w:name w:val="Основной текст 3 Знак"/>
    <w:uiPriority w:val="99"/>
    <w:semiHidden/>
    <w:qFormat/>
    <w:rPr>
      <w:rFonts w:ascii="Calibri" w:hAnsi="Calibri" w:eastAsia="Calibri" w:cs="Times New Roman"/>
      <w:sz w:val="16"/>
      <w:szCs w:val="16"/>
      <w:lang w:eastAsia="en-US"/>
    </w:rPr>
  </w:style>
  <w:style w:type="character" w:styleId="716">
    <w:name w:val="Основной текст Знак"/>
    <w:qFormat/>
    <w:rPr>
      <w:rFonts w:ascii="Times New Roman" w:hAnsi="Times New Roman"/>
      <w:sz w:val="24"/>
      <w:szCs w:val="24"/>
    </w:rPr>
  </w:style>
  <w:style w:type="character" w:styleId="717">
    <w:name w:val="Верхний колонтитул Знак,ВерхКолонтитул Знак"/>
    <w:uiPriority w:val="99"/>
    <w:qFormat/>
    <w:rPr>
      <w:rFonts w:ascii="Times New Roman" w:hAnsi="Times New Roman"/>
      <w:sz w:val="28"/>
    </w:rPr>
  </w:style>
  <w:style w:type="character" w:styleId="718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719">
    <w:name w:val="Нижний колонтитул Знак"/>
    <w:uiPriority w:val="99"/>
    <w:qFormat/>
    <w:rPr>
      <w:sz w:val="22"/>
      <w:szCs w:val="22"/>
    </w:rPr>
  </w:style>
  <w:style w:type="character" w:styleId="720" w:default="1">
    <w:name w:val="Default Paragraph Font"/>
    <w:uiPriority w:val="1"/>
    <w:semiHidden/>
    <w:unhideWhenUsed/>
    <w:qFormat/>
  </w:style>
  <w:style w:type="paragraph" w:styleId="721">
    <w:name w:val="Заголовок"/>
    <w:basedOn w:val="679"/>
    <w:next w:val="722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2">
    <w:name w:val="Body Text"/>
    <w:basedOn w:val="679"/>
    <w:pPr>
      <w:spacing w:before="0" w:after="120" w:line="240" w:lineRule="auto"/>
    </w:pPr>
    <w:rPr>
      <w:rFonts w:ascii="Times New Roman" w:hAnsi="Times New Roman"/>
      <w:sz w:val="24"/>
      <w:szCs w:val="24"/>
    </w:rPr>
  </w:style>
  <w:style w:type="paragraph" w:styleId="723">
    <w:name w:val="List"/>
    <w:basedOn w:val="722"/>
    <w:rPr>
      <w:rFonts w:cs="Droid Sans Devanagari"/>
    </w:rPr>
  </w:style>
  <w:style w:type="paragraph" w:styleId="724">
    <w:name w:val="Caption"/>
    <w:basedOn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25">
    <w:name w:val="Указатель"/>
    <w:basedOn w:val="679"/>
    <w:qFormat/>
    <w:pPr>
      <w:suppressLineNumbers/>
    </w:pPr>
    <w:rPr>
      <w:rFonts w:cs="Droid Sans Devanagari"/>
    </w:rPr>
  </w:style>
  <w:style w:type="paragraph" w:styleId="726">
    <w:name w:val="List Paragraph"/>
    <w:basedOn w:val="679"/>
    <w:uiPriority w:val="34"/>
    <w:qFormat/>
    <w:pPr>
      <w:contextualSpacing/>
      <w:ind w:left="720" w:firstLine="0"/>
      <w:spacing w:before="0" w:after="0"/>
    </w:pPr>
  </w:style>
  <w:style w:type="paragraph" w:styleId="727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imes New Roman" w:cs="Times New Roman"/>
      <w:color w:val="auto"/>
      <w:sz w:val="22"/>
      <w:szCs w:val="20"/>
      <w:lang w:val="ru-RU" w:eastAsia="zh-CN" w:bidi="ar-SA"/>
    </w:rPr>
  </w:style>
  <w:style w:type="paragraph" w:styleId="728">
    <w:name w:val="Title"/>
    <w:basedOn w:val="67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9">
    <w:name w:val="Subtitle"/>
    <w:basedOn w:val="679"/>
    <w:uiPriority w:val="11"/>
    <w:qFormat/>
    <w:pPr>
      <w:spacing w:before="200" w:after="200"/>
    </w:pPr>
    <w:rPr>
      <w:sz w:val="24"/>
      <w:szCs w:val="24"/>
    </w:rPr>
  </w:style>
  <w:style w:type="paragraph" w:styleId="730">
    <w:name w:val="Quote"/>
    <w:basedOn w:val="679"/>
    <w:uiPriority w:val="29"/>
    <w:qFormat/>
    <w:pPr>
      <w:ind w:left="720" w:right="720" w:firstLine="0"/>
    </w:pPr>
    <w:rPr>
      <w:i/>
    </w:rPr>
  </w:style>
  <w:style w:type="paragraph" w:styleId="731">
    <w:name w:val="Intense Quote"/>
    <w:basedOn w:val="67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2">
    <w:name w:val="Верхний и нижний колонтитулы"/>
    <w:basedOn w:val="679"/>
    <w:qFormat/>
  </w:style>
  <w:style w:type="paragraph" w:styleId="733">
    <w:name w:val="Колонтитул"/>
    <w:basedOn w:val="679"/>
    <w:qFormat/>
  </w:style>
  <w:style w:type="paragraph" w:styleId="734">
    <w:name w:val="Header"/>
    <w:basedOn w:val="679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35">
    <w:name w:val="Footer"/>
    <w:basedOn w:val="67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36">
    <w:name w:val="footnote text"/>
    <w:basedOn w:val="67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7">
    <w:name w:val="endnote text"/>
    <w:basedOn w:val="67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8">
    <w:name w:val="toc 1"/>
    <w:basedOn w:val="679"/>
    <w:uiPriority w:val="39"/>
    <w:unhideWhenUsed/>
    <w:pPr>
      <w:ind w:left="0" w:right="0" w:firstLine="0"/>
      <w:spacing w:before="0" w:after="57"/>
    </w:pPr>
  </w:style>
  <w:style w:type="paragraph" w:styleId="739">
    <w:name w:val="toc 2"/>
    <w:basedOn w:val="679"/>
    <w:uiPriority w:val="39"/>
    <w:unhideWhenUsed/>
    <w:pPr>
      <w:ind w:left="283" w:right="0" w:firstLine="0"/>
      <w:spacing w:before="0" w:after="57"/>
    </w:pPr>
  </w:style>
  <w:style w:type="paragraph" w:styleId="740">
    <w:name w:val="toc 3"/>
    <w:basedOn w:val="679"/>
    <w:uiPriority w:val="39"/>
    <w:unhideWhenUsed/>
    <w:pPr>
      <w:ind w:left="567" w:right="0" w:firstLine="0"/>
      <w:spacing w:before="0" w:after="57"/>
    </w:pPr>
  </w:style>
  <w:style w:type="paragraph" w:styleId="741">
    <w:name w:val="toc 4"/>
    <w:basedOn w:val="679"/>
    <w:uiPriority w:val="39"/>
    <w:unhideWhenUsed/>
    <w:pPr>
      <w:ind w:left="850" w:right="0" w:firstLine="0"/>
      <w:spacing w:before="0" w:after="57"/>
    </w:pPr>
  </w:style>
  <w:style w:type="paragraph" w:styleId="742">
    <w:name w:val="Index Heading"/>
    <w:basedOn w:val="721"/>
  </w:style>
  <w:style w:type="paragraph" w:styleId="743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0"/>
      <w:lang w:val="ru-RU" w:eastAsia="zh-CN" w:bidi="ar-SA"/>
    </w:rPr>
  </w:style>
  <w:style w:type="paragraph" w:styleId="744">
    <w:name w:val="table of figures"/>
    <w:basedOn w:val="679"/>
    <w:uiPriority w:val="99"/>
    <w:unhideWhenUsed/>
    <w:qFormat/>
    <w:pPr>
      <w:spacing w:before="0" w:after="0" w:afterAutospacing="0"/>
    </w:pPr>
  </w:style>
  <w:style w:type="paragraph" w:styleId="745">
    <w:name w:val="Обычный (веб)"/>
    <w:basedOn w:val="679"/>
    <w:uiPriority w:val="99"/>
    <w:semiHidden/>
    <w:unhideWhenUsed/>
    <w:qFormat/>
    <w:pPr>
      <w:ind w:left="150" w:right="150" w:firstLine="0"/>
      <w:jc w:val="both"/>
      <w:spacing w:before="150" w:after="0" w:line="240" w:lineRule="auto"/>
    </w:pPr>
    <w:rPr>
      <w:rFonts w:ascii="Times New Roman" w:hAnsi="Times New Roman" w:eastAsia="Times New Roman" w:cs="Times New Roman"/>
      <w:sz w:val="17"/>
      <w:szCs w:val="17"/>
    </w:rPr>
  </w:style>
  <w:style w:type="paragraph" w:styleId="746">
    <w:name w:val="Основной текст 3"/>
    <w:basedOn w:val="679"/>
    <w:uiPriority w:val="99"/>
    <w:semiHidden/>
    <w:unhideWhenUsed/>
    <w:qFormat/>
    <w:pPr>
      <w:ind w:firstLine="709"/>
      <w:jc w:val="both"/>
      <w:spacing w:before="0" w:after="120" w:line="240" w:lineRule="auto"/>
    </w:pPr>
    <w:rPr>
      <w:rFonts w:ascii="Calibri" w:hAnsi="Calibri" w:eastAsia="Calibri" w:cs="Times New Roman"/>
      <w:sz w:val="16"/>
      <w:szCs w:val="16"/>
      <w:lang w:eastAsia="en-US"/>
    </w:rPr>
  </w:style>
  <w:style w:type="paragraph" w:styleId="747">
    <w:name w:val="Без интервала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748">
    <w:name w:val="ConsPlusTitle"/>
    <w:qFormat/>
    <w:pPr>
      <w:jc w:val="left"/>
      <w:spacing w:before="0" w:after="0"/>
      <w:widowControl/>
    </w:pPr>
    <w:rPr>
      <w:rFonts w:ascii="Calibri" w:hAnsi="Calibri" w:eastAsia="Calibri" w:cs="Calibri"/>
      <w:b/>
      <w:bCs/>
      <w:color w:val="auto"/>
      <w:sz w:val="22"/>
      <w:szCs w:val="22"/>
      <w:lang w:val="ru-RU" w:eastAsia="ru-RU" w:bidi="ar-SA"/>
    </w:rPr>
  </w:style>
  <w:style w:type="paragraph" w:styleId="749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750">
    <w:name w:val="Верхний колонтитул,ВерхКолонтитул"/>
    <w:basedOn w:val="679"/>
    <w:uiPriority w:val="99"/>
    <w:qFormat/>
    <w:pPr>
      <w:ind w:firstLine="709"/>
      <w:jc w:val="both"/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paragraph" w:styleId="751">
    <w:name w:val="Текст выноски"/>
    <w:basedOn w:val="679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752">
    <w:name w:val="Нет списка"/>
    <w:uiPriority w:val="99"/>
    <w:semiHidden/>
    <w:unhideWhenUsed/>
    <w:qFormat/>
  </w:style>
  <w:style w:type="numbering" w:styleId="753" w:default="1">
    <w:name w:val="No List"/>
    <w:uiPriority w:val="99"/>
    <w:semiHidden/>
    <w:unhideWhenUsed/>
    <w:qFormat/>
  </w:style>
  <w:style w:type="table" w:styleId="754">
    <w:name w:val="Table Grid"/>
    <w:basedOn w:val="7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74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74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7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8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85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86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87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2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3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4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4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5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6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48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49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0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2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4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9">
    <w:name w:val="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0">
    <w:name w:val="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1">
    <w:name w:val="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62">
    <w:name w:val="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63">
    <w:name w:val="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64">
    <w:name w:val="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5">
    <w:name w:val="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6">
    <w:name w:val="Bordered &amp; 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7">
    <w:name w:val="Bordered &amp; 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68">
    <w:name w:val="Bordered &amp; 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69">
    <w:name w:val="Bordered &amp; 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70">
    <w:name w:val="Bordered &amp; 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1">
    <w:name w:val="Bordered &amp; 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2">
    <w:name w:val="Bordered &amp; 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3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4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6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77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78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79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7B23E080179C9CDD218AFCD24998D589B2E55881103CA5BCE3B23CC924ED5205674EE625E87945133948669B36PDaD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</dc:creator>
  <dc:description/>
  <dc:language>ru-RU</dc:language>
  <cp:revision>37</cp:revision>
  <dcterms:created xsi:type="dcterms:W3CDTF">2023-04-03T08:41:00Z</dcterms:created>
  <dcterms:modified xsi:type="dcterms:W3CDTF">2024-04-24T08:08:30Z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917504</vt:lpwstr>
  </property>
</Properties>
</file>