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center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102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4230"/>
        <w:gridCol w:w="261"/>
        <w:gridCol w:w="625"/>
        <w:gridCol w:w="34"/>
      </w:tblGrid>
      <w:tr>
        <w:trPr>
          <w:cantSplit/>
          <w:trHeight w:val="127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40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МИНИСТЕРСТВО ОБРАЗОВАНИЯ НОВОСИБИРСКОЙ ОБЛАСТИ</w:t>
            </w:r>
            <w:r>
              <w:rPr>
                <w:highlight w:val="none"/>
              </w:rPr>
            </w:r>
            <w:r/>
          </w:p>
          <w:p>
            <w:pPr>
              <w:ind w:right="-45"/>
              <w:jc w:val="center"/>
              <w:shd w:val="clear" w:color="auto" w:fill="ffff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ind w:right="40"/>
              <w:jc w:val="center"/>
              <w:spacing w:before="120" w:after="120" w:line="360" w:lineRule="auto"/>
              <w:rPr>
                <w:sz w:val="32"/>
                <w:szCs w:val="32"/>
                <w:highlight w:val="none"/>
              </w:rPr>
            </w:pPr>
            <w:r>
              <w:rPr>
                <w:b/>
                <w:spacing w:val="40"/>
                <w:sz w:val="32"/>
                <w:szCs w:val="32"/>
                <w:highlight w:val="none"/>
              </w:rPr>
              <w:t xml:space="preserve">ПРИКАЗ</w:t>
            </w:r>
            <w:r>
              <w:rPr>
                <w:sz w:val="32"/>
                <w:szCs w:val="32"/>
              </w:rPr>
            </w:r>
            <w:r/>
          </w:p>
        </w:tc>
      </w:tr>
      <w:tr>
        <w:trPr>
          <w:cantSplit/>
          <w:trHeight w:val="3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textDirection w:val="lrTb"/>
            <w:noWrap w:val="false"/>
          </w:tcPr>
          <w:p>
            <w:pPr>
              <w:pStyle w:val="669"/>
              <w:jc w:val="left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 ______________ </w:t>
            </w:r>
            <w:r>
              <w:rPr>
                <w:highlight w:val="none"/>
              </w:rPr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0" w:type="dxa"/>
            <w:textDirection w:val="lrTb"/>
            <w:noWrap w:val="false"/>
          </w:tcPr>
          <w:p>
            <w:pPr>
              <w:pStyle w:val="669"/>
              <w:ind w:left="64"/>
              <w:jc w:val="right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№ _____________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2"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                </w:t>
            </w:r>
            <w:r>
              <w:rPr>
                <w:sz w:val="28"/>
                <w:szCs w:val="28"/>
                <w:highlight w:val="none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/>
          </w:p>
          <w:p>
            <w:pPr>
              <w:shd w:val="nil" w:color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" w:type="dxa"/>
            <w:textDirection w:val="lrTb"/>
            <w:noWrap w:val="false"/>
          </w:tcPr>
          <w:p>
            <w:pPr>
              <w:shd w:val="nil" w:color="auto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206" w:type="dxa"/>
            <w:textDirection w:val="lrTb"/>
            <w:noWrap w:val="false"/>
          </w:tcPr>
          <w:p>
            <w:pPr>
              <w:ind w:left="321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О внесении измене</w:t>
            </w:r>
            <w:r>
              <w:rPr>
                <w:b/>
                <w:sz w:val="28"/>
                <w:szCs w:val="28"/>
                <w:highlight w:val="white"/>
              </w:rPr>
              <w:t xml:space="preserve">ни</w:t>
            </w:r>
            <w:r>
              <w:rPr>
                <w:b/>
                <w:sz w:val="28"/>
                <w:szCs w:val="28"/>
                <w:highlight w:val="white"/>
              </w:rPr>
              <w:t xml:space="preserve">я</w:t>
            </w:r>
            <w:r>
              <w:rPr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sz w:val="28"/>
                <w:szCs w:val="28"/>
                <w:highlight w:val="none"/>
              </w:rPr>
              <w:t xml:space="preserve">в приказ министерства образования</w:t>
            </w:r>
            <w:r>
              <w:rPr>
                <w:highlight w:val="none"/>
              </w:rPr>
            </w:r>
            <w:r/>
          </w:p>
          <w:p>
            <w:pPr>
              <w:ind w:left="321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Новосибирской области от 17.06.2024 № 925</w:t>
            </w:r>
            <w:r>
              <w:rPr>
                <w:highlight w:val="none"/>
              </w:rPr>
            </w:r>
            <w:r/>
          </w:p>
        </w:tc>
      </w:tr>
    </w:tbl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891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  <w:highlight w:val="none"/>
        </w:rPr>
        <w:t xml:space="preserve">Приказываю:</w:t>
      </w:r>
      <w:r>
        <w:rPr>
          <w:rFonts w:ascii="Times New Roman" w:hAnsi="Times New Roman" w:cs="Times New Roman"/>
          <w:b/>
          <w:spacing w:val="40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tLeast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В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нести в приказ министерства образования Новосибирской области                             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от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17.06.2024 № 925 «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О создании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центров «Инженерно-технический кружок»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в системе дополнительного образования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детей 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на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территории Новосибирской области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следующ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е изменени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: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 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  <w14:ligatures w14:val="none"/>
        </w:rPr>
      </w:r>
      <w:r/>
    </w:p>
    <w:p>
      <w:pPr>
        <w:jc w:val="left"/>
        <w:spacing w:line="240" w:lineRule="atLeast"/>
        <w:rPr>
          <w:b w:val="0"/>
          <w:bCs w:val="0"/>
          <w:sz w:val="28"/>
          <w:szCs w:val="28"/>
          <w14:ligatures w14:val="none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           в положении  </w:t>
      </w:r>
      <w:r>
        <w:rPr>
          <w:b w:val="0"/>
          <w:bCs w:val="0"/>
          <w:sz w:val="28"/>
          <w:szCs w:val="28"/>
        </w:rPr>
        <w:t xml:space="preserve">о порядке создания и функционирования </w:t>
      </w:r>
      <w:r>
        <w:rPr>
          <w:b w:val="0"/>
          <w:bCs w:val="0"/>
          <w:sz w:val="28"/>
          <w:szCs w:val="28"/>
        </w:rPr>
        <w:t xml:space="preserve">центров «Инженерно-технический кружок»</w:t>
      </w:r>
      <w:r>
        <w:rPr>
          <w:b w:val="0"/>
          <w:bCs w:val="0"/>
          <w:sz w:val="28"/>
          <w:szCs w:val="28"/>
        </w:rPr>
        <w:t xml:space="preserve"> в системе дополнительного образования </w:t>
      </w:r>
      <w:r>
        <w:rPr>
          <w:b w:val="0"/>
          <w:bCs w:val="0"/>
          <w:sz w:val="28"/>
          <w:szCs w:val="28"/>
        </w:rPr>
        <w:t xml:space="preserve">детей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на территории Новосибирской области</w:t>
      </w:r>
      <w:r>
        <w:rPr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  <w14:ligatures w14:val="none"/>
        </w:rPr>
      </w:r>
      <w:r/>
    </w:p>
    <w:p>
      <w:pPr>
        <w:ind w:firstLine="720"/>
        <w:jc w:val="both"/>
        <w:spacing w:line="240" w:lineRule="atLeast"/>
        <w:rPr>
          <w:b w:val="0"/>
          <w:bCs w:val="0"/>
          <w:sz w:val="28"/>
          <w:szCs w:val="28"/>
          <w14:ligatures w14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Приложение «</w:t>
      </w:r>
      <w:r>
        <w:rPr>
          <w:b w:val="0"/>
          <w:bCs w:val="0"/>
          <w:sz w:val="28"/>
          <w:szCs w:val="28"/>
        </w:rPr>
        <w:t xml:space="preserve">Критерии и показатели </w:t>
      </w:r>
      <w:r>
        <w:rPr>
          <w:b w:val="0"/>
          <w:bCs w:val="0"/>
          <w:sz w:val="28"/>
          <w:szCs w:val="28"/>
        </w:rPr>
        <w:t xml:space="preserve">конкурсного отбора организаций </w:t>
      </w:r>
      <w:r>
        <w:rPr>
          <w:b w:val="0"/>
          <w:bCs w:val="0"/>
          <w:sz w:val="28"/>
          <w:szCs w:val="28"/>
        </w:rPr>
        <w:t xml:space="preserve">дополнительного образования </w:t>
      </w:r>
      <w:r>
        <w:rPr>
          <w:b w:val="0"/>
          <w:bCs w:val="0"/>
          <w:sz w:val="28"/>
          <w:szCs w:val="28"/>
        </w:rPr>
        <w:t xml:space="preserve">для создания центра «Инженерно-технический кружо</w:t>
      </w:r>
      <w:r>
        <w:rPr>
          <w:b w:val="0"/>
          <w:bCs w:val="0"/>
          <w:sz w:val="28"/>
          <w:szCs w:val="28"/>
        </w:rPr>
        <w:t xml:space="preserve">к»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изложить в редакции согласно приложению к настоящему приказу.</w:t>
      </w:r>
      <w:r>
        <w:rPr>
          <w:sz w:val="28"/>
          <w:szCs w:val="28"/>
        </w:rPr>
      </w:r>
      <w:r/>
    </w:p>
    <w:p>
      <w:pPr>
        <w:jc w:val="left"/>
        <w:spacing w:line="240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91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Минис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тр</w:t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</w:r>
      <w:r>
        <w:rPr>
          <w:rFonts w:ascii="Liberation Serif" w:hAnsi="Liberation Serif" w:cs="Liberation Serif"/>
          <w:sz w:val="28"/>
          <w:szCs w:val="28"/>
          <w:highlight w:val="none"/>
        </w:rPr>
        <w:tab/>
        <w:t xml:space="preserve">       М.Н. Жафярова</w:t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  <w:t xml:space="preserve">М.В. Остреинова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  <w:t xml:space="preserve">238 74 19</w:t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br w:type="page" w:clear="all"/>
      </w:r>
      <w:r>
        <w:rPr>
          <w:sz w:val="28"/>
          <w:highlight w:val="none"/>
        </w:rPr>
        <w:t xml:space="preserve">СОГЛАСОВАНО:</w:t>
      </w:r>
      <w:r>
        <w:rPr>
          <w:highlight w:val="none"/>
        </w:rPr>
      </w:r>
      <w:r/>
    </w:p>
    <w:p>
      <w:pPr>
        <w:ind w:right="-17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ind w:right="-17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образовательной политики </w:t>
      </w:r>
      <w:r>
        <w:rPr>
          <w:sz w:val="27"/>
          <w:szCs w:val="27"/>
          <w:highlight w:val="none"/>
        </w:rPr>
      </w:r>
      <w:r/>
    </w:p>
    <w:p>
      <w:pPr>
        <w:ind w:right="-17"/>
        <w:rPr>
          <w:sz w:val="27"/>
          <w:szCs w:val="27"/>
        </w:rPr>
      </w:pPr>
      <w:r>
        <w:rPr>
          <w:sz w:val="27"/>
          <w:szCs w:val="27"/>
        </w:rPr>
        <w:t xml:space="preserve">в сфере общего образования министерства образования </w:t>
      </w:r>
      <w:r>
        <w:rPr>
          <w:sz w:val="27"/>
          <w:szCs w:val="27"/>
          <w:highlight w:val="none"/>
        </w:rPr>
      </w:r>
      <w:r/>
    </w:p>
    <w:p>
      <w:pPr>
        <w:ind w:right="-17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Новосибирской области</w:t>
      </w:r>
      <w:r>
        <w:rPr>
          <w:highlight w:val="none"/>
        </w:rPr>
        <w:t xml:space="preserve">                                                                                    </w:t>
      </w:r>
      <w:r>
        <w:rPr>
          <w:sz w:val="27"/>
          <w:szCs w:val="27"/>
          <w:highlight w:val="none"/>
        </w:rPr>
        <w:t xml:space="preserve">                       С.В. Яковлева</w:t>
      </w:r>
      <w:r/>
    </w:p>
    <w:p>
      <w:pPr>
        <w:ind w:right="-17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highlight w:val="none"/>
        </w:rPr>
      </w:r>
      <w:r/>
    </w:p>
    <w:p>
      <w:pPr>
        <w:ind w:right="-17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ind w:right="-17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Заместитель министра образования</w:t>
      </w:r>
      <w:r>
        <w:rPr>
          <w:highlight w:val="none"/>
        </w:rPr>
      </w:r>
      <w:r/>
    </w:p>
    <w:p>
      <w:pPr>
        <w:ind w:right="-17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Новосибирской области</w:t>
      </w:r>
      <w:r>
        <w:rPr>
          <w:sz w:val="27"/>
          <w:szCs w:val="27"/>
          <w:highlight w:val="none"/>
        </w:rPr>
        <w:tab/>
      </w:r>
      <w:r>
        <w:rPr>
          <w:sz w:val="27"/>
          <w:szCs w:val="27"/>
          <w:highlight w:val="none"/>
        </w:rPr>
        <w:tab/>
      </w:r>
      <w:r>
        <w:rPr>
          <w:sz w:val="27"/>
          <w:szCs w:val="27"/>
          <w:highlight w:val="none"/>
        </w:rPr>
        <w:tab/>
      </w:r>
      <w:r>
        <w:rPr>
          <w:sz w:val="27"/>
          <w:szCs w:val="27"/>
          <w:highlight w:val="none"/>
        </w:rPr>
        <w:tab/>
      </w:r>
      <w:r>
        <w:rPr>
          <w:sz w:val="27"/>
          <w:szCs w:val="27"/>
          <w:highlight w:val="none"/>
        </w:rPr>
        <w:tab/>
      </w:r>
      <w:r>
        <w:rPr>
          <w:sz w:val="27"/>
          <w:szCs w:val="27"/>
          <w:highlight w:val="none"/>
        </w:rPr>
        <w:tab/>
      </w:r>
      <w:r>
        <w:rPr>
          <w:sz w:val="27"/>
          <w:szCs w:val="27"/>
          <w:highlight w:val="none"/>
        </w:rPr>
        <w:tab/>
      </w:r>
      <w:r>
        <w:rPr>
          <w:sz w:val="27"/>
          <w:szCs w:val="27"/>
          <w:highlight w:val="none"/>
        </w:rPr>
        <w:tab/>
      </w:r>
      <w:r>
        <w:rPr>
          <w:sz w:val="27"/>
          <w:szCs w:val="27"/>
          <w:highlight w:val="none"/>
        </w:rPr>
        <w:tab/>
      </w:r>
      <w:r>
        <w:rPr>
          <w:bCs/>
          <w:sz w:val="27"/>
          <w:szCs w:val="27"/>
          <w:highlight w:val="none"/>
        </w:rPr>
        <w:t xml:space="preserve">В.Н. Щукин</w:t>
      </w:r>
      <w:r>
        <w:rPr>
          <w:highlight w:val="none"/>
        </w:rPr>
      </w:r>
      <w:r/>
    </w:p>
    <w:p>
      <w:pPr>
        <w:ind w:right="-17"/>
        <w:rPr>
          <w:bCs/>
          <w:sz w:val="28"/>
          <w:highlight w:val="none"/>
        </w:rPr>
      </w:pPr>
      <w:r>
        <w:rPr>
          <w:bCs/>
          <w:sz w:val="28"/>
          <w:highlight w:val="none"/>
        </w:rPr>
      </w:r>
      <w:r>
        <w:rPr>
          <w:highlight w:val="none"/>
        </w:rPr>
      </w:r>
      <w:r/>
    </w:p>
    <w:p>
      <w:pPr>
        <w:ind w:right="-17"/>
        <w:rPr>
          <w:bCs/>
          <w:sz w:val="28"/>
          <w:highlight w:val="none"/>
        </w:rPr>
      </w:pPr>
      <w:r>
        <w:rPr>
          <w:bCs/>
          <w:sz w:val="28"/>
          <w:highlight w:val="none"/>
        </w:rPr>
      </w:r>
      <w:r>
        <w:rPr>
          <w:highlight w:val="none"/>
        </w:rPr>
      </w:r>
      <w:r/>
    </w:p>
    <w:p>
      <w:pPr>
        <w:ind w:right="-17"/>
        <w:rPr>
          <w:sz w:val="27"/>
          <w:szCs w:val="27"/>
          <w:highlight w:val="none"/>
        </w:rPr>
      </w:pPr>
      <w:r>
        <w:rPr>
          <w:bCs/>
          <w:sz w:val="27"/>
          <w:szCs w:val="27"/>
          <w:highlight w:val="none"/>
        </w:rPr>
        <w:t xml:space="preserve">Заместитель начальника управления – </w:t>
      </w:r>
      <w:r>
        <w:rPr>
          <w:bCs/>
          <w:sz w:val="27"/>
          <w:szCs w:val="27"/>
          <w:highlight w:val="none"/>
        </w:rPr>
      </w:r>
      <w:r/>
    </w:p>
    <w:p>
      <w:pPr>
        <w:ind w:right="-17"/>
        <w:rPr>
          <w:sz w:val="27"/>
          <w:szCs w:val="27"/>
          <w:highlight w:val="none"/>
        </w:rPr>
      </w:pPr>
      <w:r>
        <w:rPr>
          <w:bCs/>
          <w:sz w:val="27"/>
          <w:szCs w:val="27"/>
          <w:highlight w:val="none"/>
        </w:rPr>
        <w:t xml:space="preserve">начальник отдела правового сопровождения</w:t>
      </w:r>
      <w:r>
        <w:rPr>
          <w:sz w:val="27"/>
          <w:szCs w:val="27"/>
          <w:highlight w:val="none"/>
        </w:rPr>
      </w:r>
      <w:r/>
    </w:p>
    <w:p>
      <w:pPr>
        <w:ind w:right="-17"/>
        <w:rPr>
          <w:sz w:val="27"/>
          <w:szCs w:val="27"/>
          <w:highlight w:val="none"/>
        </w:rPr>
      </w:pPr>
      <w:r>
        <w:rPr>
          <w:bCs/>
          <w:sz w:val="27"/>
          <w:szCs w:val="27"/>
          <w:highlight w:val="none"/>
        </w:rPr>
        <w:t xml:space="preserve">организационно-</w:t>
      </w:r>
      <w:r>
        <w:rPr>
          <w:bCs/>
          <w:sz w:val="27"/>
          <w:szCs w:val="27"/>
          <w:highlight w:val="none"/>
        </w:rPr>
        <w:t xml:space="preserve">правового управления</w:t>
      </w:r>
      <w:r>
        <w:rPr>
          <w:bCs/>
          <w:sz w:val="27"/>
          <w:szCs w:val="27"/>
          <w:highlight w:val="none"/>
        </w:rPr>
        <w:tab/>
      </w:r>
      <w:r>
        <w:rPr>
          <w:bCs/>
          <w:sz w:val="27"/>
          <w:szCs w:val="27"/>
          <w:highlight w:val="none"/>
        </w:rPr>
        <w:tab/>
      </w:r>
      <w:r>
        <w:rPr>
          <w:bCs/>
          <w:sz w:val="27"/>
          <w:szCs w:val="27"/>
          <w:highlight w:val="none"/>
        </w:rPr>
        <w:tab/>
      </w:r>
      <w:r>
        <w:rPr>
          <w:bCs/>
          <w:sz w:val="27"/>
          <w:szCs w:val="27"/>
          <w:highlight w:val="none"/>
        </w:rPr>
        <w:tab/>
      </w:r>
      <w:r>
        <w:rPr>
          <w:bCs/>
          <w:sz w:val="27"/>
          <w:szCs w:val="27"/>
          <w:highlight w:val="none"/>
        </w:rPr>
        <w:tab/>
      </w:r>
      <w:r>
        <w:rPr>
          <w:bCs/>
          <w:sz w:val="27"/>
          <w:szCs w:val="27"/>
          <w:highlight w:val="none"/>
        </w:rPr>
        <w:tab/>
      </w:r>
      <w:r>
        <w:rPr>
          <w:bCs/>
          <w:sz w:val="27"/>
          <w:szCs w:val="27"/>
          <w:highlight w:val="none"/>
        </w:rPr>
        <w:t xml:space="preserve">А.Н. Гольман</w:t>
      </w:r>
      <w:r>
        <w:rPr>
          <w:sz w:val="27"/>
          <w:szCs w:val="27"/>
          <w:highlight w:val="none"/>
        </w:rPr>
      </w:r>
      <w:r/>
    </w:p>
    <w:p>
      <w:pPr>
        <w:ind w:right="-17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ind w:right="-17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ind w:left="2835" w:hanging="2835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Рассылка:</w:t>
      </w:r>
      <w:r>
        <w:rPr>
          <w:sz w:val="28"/>
          <w:highlight w:val="none"/>
        </w:rPr>
        <w:tab/>
      </w:r>
      <w:r>
        <w:rPr>
          <w:sz w:val="27"/>
          <w:szCs w:val="27"/>
          <w:highlight w:val="none"/>
        </w:rPr>
        <w:t xml:space="preserve">Управление образовательной политики в сфере общего образования, руководителям органов управления образованием муниципальных районов и городских округов Новосибирской области</w:t>
      </w:r>
      <w:r>
        <w:rPr>
          <w:sz w:val="28"/>
          <w:szCs w:val="28"/>
          <w:highlight w:val="none"/>
        </w:rPr>
        <w:t xml:space="preserve">, НИПКиПРО, ОЦРТДиЮ, НИМРО</w:t>
      </w:r>
      <w:r>
        <w:rPr>
          <w:highlight w:val="none"/>
        </w:rPr>
      </w:r>
      <w:r/>
    </w:p>
    <w:p>
      <w:pPr>
        <w:ind w:left="2835" w:hanging="2835"/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/>
    </w:p>
    <w:p>
      <w:pPr>
        <w:ind w:left="2835" w:hanging="2835"/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</w:tr>
    </w:tbl>
    <w:p>
      <w:pPr>
        <w:ind w:left="2835" w:hanging="2835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На контроль</w:t>
      </w:r>
      <w:r>
        <w:rPr>
          <w:highlight w:val="none"/>
        </w:rPr>
      </w:r>
      <w:r/>
    </w:p>
    <w:p>
      <w:pPr>
        <w:ind w:left="2835" w:hanging="2835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ind w:left="2127" w:hanging="2127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+</w:t>
            </w:r>
            <w:r>
              <w:rPr>
                <w:highlight w:val="none"/>
              </w:rPr>
            </w:r>
            <w:r/>
          </w:p>
        </w:tc>
      </w:tr>
    </w:tbl>
    <w:p>
      <w:pPr>
        <w:ind w:left="2127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Для размещения на сайте Минобразования Новосибирской области и в ГИС НСО «Электронная демократия» </w:t>
      </w:r>
      <w:r>
        <w:rPr>
          <w:highlight w:val="none"/>
        </w:rPr>
      </w:r>
      <w:r/>
    </w:p>
    <w:p>
      <w:pPr>
        <w:ind w:left="2127"/>
        <w:jc w:val="both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highlight w:val="none"/>
        </w:rPr>
      </w:r>
      <w:r/>
    </w:p>
    <w:p>
      <w:pPr>
        <w:ind w:left="2127" w:hanging="2127"/>
        <w:jc w:val="both"/>
        <w:rPr>
          <w:sz w:val="28"/>
          <w:highlight w:val="none"/>
        </w:rPr>
      </w:pPr>
      <w:r>
        <w:rPr>
          <w:sz w:val="28"/>
          <w:highlight w:val="white"/>
        </w:rPr>
        <w:t xml:space="preserve">с «___»_____по «___»________2024 года </w:t>
      </w:r>
      <w:r>
        <w:rPr>
          <w:i/>
          <w:sz w:val="28"/>
          <w:highlight w:val="white"/>
        </w:rPr>
        <w:t xml:space="preserve">даты начала и окончания приема заключений нез</w:t>
      </w:r>
      <w:r>
        <w:rPr>
          <w:i/>
          <w:sz w:val="28"/>
          <w:highlight w:val="white"/>
        </w:rPr>
        <w:t xml:space="preserve">а</w:t>
      </w:r>
      <w:r>
        <w:rPr>
          <w:i/>
          <w:sz w:val="28"/>
          <w:highlight w:val="none"/>
        </w:rPr>
        <w:t xml:space="preserve">висимой антикоррупционной экспертизы размещения НПА (не менее 7 дней).</w:t>
      </w:r>
      <w:r>
        <w:rPr>
          <w:highlight w:val="none"/>
        </w:rPr>
      </w:r>
      <w:r/>
    </w:p>
    <w:p>
      <w:pPr>
        <w:ind w:left="2127" w:hanging="2127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+</w:t>
            </w:r>
            <w:r>
              <w:rPr>
                <w:highlight w:val="none"/>
              </w:rPr>
            </w:r>
            <w:r/>
          </w:p>
        </w:tc>
      </w:tr>
    </w:tbl>
    <w:p>
      <w:pPr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для НПА: 1) Прокуратура Новосибирской области – 1экз.;</w:t>
      </w:r>
      <w:r>
        <w:rPr>
          <w:highlight w:val="none"/>
        </w:rPr>
      </w:r>
      <w:r/>
    </w:p>
    <w:p>
      <w:pPr>
        <w:contextualSpacing/>
        <w:ind w:left="2127" w:firstLine="33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   2) Главное Управление Министерства юстиции Российской Федерации по Новосибирской области – 1экз.;</w:t>
      </w:r>
      <w:r>
        <w:rPr>
          <w:highlight w:val="none"/>
        </w:rPr>
      </w:r>
      <w:r/>
    </w:p>
    <w:p>
      <w:pPr>
        <w:contextualSpacing/>
        <w:ind w:left="2127" w:firstLine="33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3) Законодательное Собрание Новосибирской области – 1экз.;</w:t>
      </w:r>
      <w:r>
        <w:rPr>
          <w:highlight w:val="none"/>
        </w:rPr>
      </w:r>
      <w:r/>
    </w:p>
    <w:p>
      <w:pPr>
        <w:ind w:left="2127"/>
        <w:jc w:val="both"/>
        <w:tabs>
          <w:tab w:val="left" w:pos="2410" w:leader="none"/>
        </w:tabs>
        <w:rPr>
          <w:sz w:val="28"/>
          <w:highlight w:val="none"/>
        </w:rPr>
      </w:pPr>
      <w:r>
        <w:rPr>
          <w:sz w:val="28"/>
          <w:highlight w:val="none"/>
        </w:rPr>
        <w:t xml:space="preserve">4) Министерство юстиции Новосибирской области – 1 экз.;</w:t>
      </w:r>
      <w:r>
        <w:rPr>
          <w:highlight w:val="none"/>
        </w:rPr>
      </w:r>
      <w:r/>
    </w:p>
    <w:p>
      <w:pPr>
        <w:ind w:left="2127"/>
        <w:jc w:val="both"/>
        <w:tabs>
          <w:tab w:val="left" w:pos="2410" w:leader="none"/>
        </w:tabs>
        <w:rPr>
          <w:sz w:val="28"/>
          <w:highlight w:val="none"/>
        </w:rPr>
      </w:pPr>
      <w:r>
        <w:rPr>
          <w:sz w:val="28"/>
          <w:highlight w:val="none"/>
        </w:rPr>
        <w:t xml:space="preserve">5) Размещается на сайте Минобразования Новосибирской области;</w:t>
      </w:r>
      <w:r>
        <w:rPr>
          <w:highlight w:val="none"/>
        </w:rPr>
      </w:r>
      <w:r/>
    </w:p>
    <w:p>
      <w:pPr>
        <w:ind w:left="2127"/>
        <w:jc w:val="both"/>
        <w:tabs>
          <w:tab w:val="left" w:pos="2410" w:leader="none"/>
        </w:tabs>
        <w:rPr>
          <w:sz w:val="28"/>
          <w:highlight w:val="none"/>
        </w:rPr>
      </w:pPr>
      <w:r>
        <w:rPr>
          <w:sz w:val="28"/>
          <w:highlight w:val="none"/>
        </w:rPr>
        <w:t xml:space="preserve">6) На официальное опубликование </w:t>
      </w:r>
      <w:r>
        <w:rPr>
          <w:sz w:val="28"/>
          <w:szCs w:val="28"/>
          <w:highlight w:val="none"/>
        </w:rPr>
        <w:t xml:space="preserve">на </w:t>
      </w:r>
      <w:hyperlink r:id="rId10" w:tooltip="http://www.nsopravo.ru" w:history="1">
        <w:r>
          <w:rPr>
            <w:rStyle w:val="830"/>
            <w:sz w:val="28"/>
            <w:highlight w:val="none"/>
          </w:rPr>
          <w:t xml:space="preserve">www.nsopravo.ru</w:t>
        </w:r>
      </w:hyperlink>
      <w:r>
        <w:rPr>
          <w:sz w:val="28"/>
          <w:szCs w:val="28"/>
          <w:highlight w:val="none"/>
          <w:u w:val="single"/>
        </w:rPr>
        <w:t xml:space="preserve"> </w:t>
      </w:r>
      <w:r>
        <w:rPr>
          <w:highlight w:val="none"/>
        </w:rPr>
      </w:r>
      <w:r/>
    </w:p>
    <w:p>
      <w:pPr>
        <w:jc w:val="both"/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highlight w:val="none"/>
          <w:u w:val="single"/>
        </w:rPr>
      </w:r>
      <w:r>
        <w:rPr>
          <w:highlight w:val="none"/>
        </w:rPr>
      </w:r>
      <w:r/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+</w:t>
            </w:r>
            <w:r>
              <w:rPr>
                <w:highlight w:val="none"/>
              </w:rPr>
            </w:r>
            <w:r/>
          </w:p>
        </w:tc>
      </w:tr>
    </w:tbl>
    <w:p>
      <w:pPr>
        <w:ind w:left="2835" w:hanging="2835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для НПА на официальное размещение (опубликование) </w:t>
      </w:r>
      <w:hyperlink r:id="rId11" w:tooltip="http://www.pravo.gov.ru" w:history="1">
        <w:r>
          <w:rPr>
            <w:rStyle w:val="830"/>
            <w:sz w:val="28"/>
            <w:highlight w:val="none"/>
          </w:rPr>
          <w:t xml:space="preserve">www.pravo.gov.ru</w:t>
        </w:r>
      </w:hyperlink>
      <w:r>
        <w:rPr>
          <w:highlight w:val="none"/>
        </w:rPr>
      </w:r>
      <w:r/>
    </w:p>
    <w:p>
      <w:pPr>
        <w:ind w:left="5954"/>
        <w:jc w:val="center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 w:clear="all"/>
      </w:r>
      <w:r/>
    </w:p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5919"/>
        <w:gridCol w:w="4502"/>
      </w:tblGrid>
      <w:tr>
        <w:trPr/>
        <w:tc>
          <w:tcPr>
            <w:tcW w:w="5919" w:type="dxa"/>
            <w:textDirection w:val="lrTb"/>
            <w:noWrap w:val="false"/>
          </w:tcPr>
          <w:p>
            <w:pPr>
              <w:pStyle w:val="689"/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4502" w:type="dxa"/>
            <w:textDirection w:val="lrTb"/>
            <w:noWrap w:val="false"/>
          </w:tcPr>
          <w:p>
            <w:pPr>
              <w:jc w:val="left"/>
              <w:spacing w:line="240" w:lineRule="atLeast"/>
            </w:pPr>
            <w:r>
              <w:rPr>
                <w:b w:val="0"/>
                <w:bCs w:val="0"/>
                <w:sz w:val="28"/>
                <w:szCs w:val="28"/>
              </w:rPr>
              <w:t xml:space="preserve">ПРИЛОЖЕНИЕ</w:t>
            </w:r>
            <w:r>
              <w:rPr>
                <w:b w:val="0"/>
                <w:bCs w:val="0"/>
                <w:sz w:val="28"/>
                <w:szCs w:val="28"/>
                <w14:ligatures w14:val="none"/>
              </w:rPr>
            </w:r>
            <w:r/>
          </w:p>
          <w:p>
            <w:pPr>
              <w:jc w:val="left"/>
              <w:spacing w:line="240" w:lineRule="atLeast"/>
            </w:pPr>
            <w:r>
              <w:rPr>
                <w:b w:val="0"/>
                <w:bCs w:val="0"/>
                <w:sz w:val="28"/>
                <w:szCs w:val="28"/>
              </w:rPr>
              <w:t xml:space="preserve">к приказу Минобразования Новосибирской области</w:t>
            </w:r>
            <w:r>
              <w:rPr>
                <w:b w:val="0"/>
                <w:bCs w:val="0"/>
                <w:sz w:val="28"/>
                <w:szCs w:val="28"/>
                <w14:ligatures w14:val="none"/>
              </w:rPr>
            </w:r>
            <w:r/>
          </w:p>
          <w:p>
            <w:pPr>
              <w:pStyle w:val="689"/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от__________№__________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pStyle w:val="689"/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pStyle w:val="689"/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5919" w:type="dxa"/>
            <w:textDirection w:val="lrTb"/>
            <w:noWrap w:val="false"/>
          </w:tcPr>
          <w:p>
            <w:pPr>
              <w:pStyle w:val="689"/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4502" w:type="dxa"/>
            <w:textDirection w:val="lrTb"/>
            <w:noWrap w:val="false"/>
          </w:tcPr>
          <w:p>
            <w:pPr>
              <w:ind w:left="0"/>
              <w:jc w:val="both"/>
              <w:rPr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«</w:t>
            </w:r>
            <w:r>
              <w:rPr>
                <w:b w:val="0"/>
                <w:bCs w:val="0"/>
                <w:sz w:val="28"/>
                <w:szCs w:val="28"/>
              </w:rPr>
              <w:t xml:space="preserve">ПРИЛОЖЕНИЕ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ind w:left="0"/>
              <w:jc w:val="both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</w:t>
            </w:r>
            <w:r>
              <w:rPr>
                <w:b w:val="0"/>
                <w:bCs w:val="0"/>
                <w:sz w:val="28"/>
                <w:szCs w:val="28"/>
              </w:rPr>
              <w:t xml:space="preserve"> положению </w:t>
            </w:r>
            <w:r>
              <w:rPr>
                <w:b w:val="0"/>
                <w:bCs w:val="0"/>
                <w:sz w:val="28"/>
                <w:szCs w:val="28"/>
              </w:rPr>
              <w:t xml:space="preserve">о порядке создания </w:t>
            </w:r>
            <w:r>
              <w:rPr>
                <w:sz w:val="28"/>
                <w:szCs w:val="28"/>
                <w:highlight w:val="none"/>
              </w:rPr>
              <w:t xml:space="preserve">и функционирования </w:t>
            </w:r>
            <w:r>
              <w:rPr>
                <w:sz w:val="28"/>
                <w:szCs w:val="28"/>
                <w:highlight w:val="none"/>
              </w:rPr>
              <w:t xml:space="preserve">центров </w:t>
            </w:r>
            <w:r>
              <w:rPr>
                <w:sz w:val="28"/>
                <w:szCs w:val="28"/>
                <w:highlight w:val="none"/>
              </w:rPr>
              <w:t xml:space="preserve">«Инженерно-технический </w:t>
            </w:r>
            <w:r>
              <w:rPr>
                <w:sz w:val="28"/>
                <w:szCs w:val="28"/>
                <w:highlight w:val="none"/>
              </w:rPr>
              <w:t xml:space="preserve">круж</w:t>
            </w:r>
            <w:r>
              <w:rPr>
                <w:sz w:val="28"/>
                <w:szCs w:val="28"/>
                <w:highlight w:val="none"/>
              </w:rPr>
              <w:t xml:space="preserve">ок»</w:t>
            </w:r>
            <w:r>
              <w:rPr>
                <w:sz w:val="28"/>
                <w:szCs w:val="28"/>
                <w:highlight w:val="none"/>
              </w:rPr>
              <w:t xml:space="preserve"> в системе дополнительного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образования детей на территории </w:t>
            </w:r>
            <w:r>
              <w:rPr>
                <w:b w:val="0"/>
                <w:bCs w:val="0"/>
                <w:sz w:val="28"/>
                <w:szCs w:val="28"/>
              </w:rPr>
              <w:t xml:space="preserve">Новосибирской области</w:t>
            </w:r>
            <w:r>
              <w:rPr>
                <w:b w:val="0"/>
                <w:bCs w:val="0"/>
                <w:sz w:val="28"/>
                <w:szCs w:val="28"/>
                <w14:ligatures w14:val="none"/>
              </w:rPr>
            </w:r>
            <w:r/>
          </w:p>
          <w:p>
            <w:pPr>
              <w:pStyle w:val="689"/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p>
      <w:pPr>
        <w:pStyle w:val="689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689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Критерии и показатели </w:t>
      </w:r>
      <w:r/>
    </w:p>
    <w:p>
      <w:pPr>
        <w:pStyle w:val="689"/>
        <w:jc w:val="center"/>
      </w:pPr>
      <w:r>
        <w:rPr>
          <w:b/>
          <w:bCs/>
          <w:sz w:val="28"/>
          <w:szCs w:val="28"/>
        </w:rPr>
        <w:t xml:space="preserve">конкурсного отбора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организаций дополнительного образования</w:t>
      </w:r>
      <w:r/>
    </w:p>
    <w:p>
      <w:pPr>
        <w:pStyle w:val="68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создания</w:t>
      </w:r>
      <w:r>
        <w:rPr>
          <w:b/>
          <w:bCs/>
          <w:spacing w:val="-2"/>
          <w:sz w:val="28"/>
          <w:szCs w:val="28"/>
        </w:rPr>
        <w:t xml:space="preserve"> центра «</w:t>
      </w:r>
      <w:r>
        <w:rPr>
          <w:b/>
          <w:bCs/>
          <w:sz w:val="28"/>
          <w:szCs w:val="28"/>
        </w:rPr>
        <w:t xml:space="preserve">Ин</w:t>
      </w:r>
      <w:r>
        <w:rPr>
          <w:b/>
          <w:bCs/>
          <w:sz w:val="28"/>
          <w:szCs w:val="28"/>
        </w:rPr>
        <w:t xml:space="preserve">женерно-технический кружок»</w:t>
      </w:r>
      <w:r>
        <w:rPr>
          <w:sz w:val="28"/>
          <w:szCs w:val="28"/>
        </w:rPr>
      </w:r>
      <w:r/>
    </w:p>
    <w:p>
      <w:pPr>
        <w:pStyle w:val="68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71"/>
        <w:gridCol w:w="3544"/>
      </w:tblGrid>
      <w:tr>
        <w:trPr>
          <w:trHeight w:val="538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№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/п</w:t>
            </w:r>
            <w:r/>
          </w:p>
          <w:p>
            <w:r/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r>
              <w:rPr>
                <w:rStyle w:val="896"/>
                <w:rFonts w:eastAsiaTheme="minorHAnsi"/>
                <w:sz w:val="24"/>
                <w:szCs w:val="24"/>
              </w:rPr>
              <w:t xml:space="preserve">Наименование критерия (показателя)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Индикаторы</w:t>
            </w:r>
            <w:r/>
          </w:p>
          <w:p>
            <w:r/>
            <w:r/>
          </w:p>
        </w:tc>
      </w:tr>
      <w:tr>
        <w:trPr>
          <w:trHeight w:val="280"/>
        </w:trPr>
        <w:tc>
          <w:tcPr>
            <w:gridSpan w:val="3"/>
            <w:tcW w:w="9923" w:type="dxa"/>
            <w:vAlign w:val="center"/>
            <w:vMerge w:val="restart"/>
            <w:textDirection w:val="lrTb"/>
            <w:noWrap w:val="false"/>
          </w:tcPr>
          <w:p>
            <w:pPr>
              <w:pStyle w:val="897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Критерий 1. Реализация системы наставничества </w:t>
            </w:r>
            <w:r/>
          </w:p>
          <w:p>
            <w:pPr>
              <w:pStyle w:val="897"/>
              <w:spacing w:after="0" w:line="240" w:lineRule="auto"/>
              <w:shd w:val="clear" w:color="auto" w:fill="auto"/>
              <w:rPr>
                <w:highlight w:val="none"/>
              </w:rPr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в проектно-исследовательской и кружковой деятельности (максимум 3 балла)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</w:pPr>
            <w:r>
              <w:rPr>
                <w:sz w:val="24"/>
                <w:szCs w:val="24"/>
              </w:rPr>
              <w:t xml:space="preserve">Наличие копии персонализированной программы наставничества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  <w:tabs>
                <w:tab w:val="left" w:pos="326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3 – представлено 3 и более  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  <w:tabs>
                <w:tab w:val="left" w:pos="326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2 – представлено 2 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  <w:tabs>
                <w:tab w:val="left" w:pos="326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–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представлена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1 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  <w:tabs>
                <w:tab w:val="left" w:pos="322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– не представлено</w:t>
            </w:r>
            <w:r>
              <w:rPr>
                <w:rFonts w:eastAsiaTheme="minorHAnsi"/>
              </w:rPr>
            </w:r>
            <w:r/>
          </w:p>
        </w:tc>
      </w:tr>
      <w:tr>
        <w:trPr>
          <w:trHeight w:val="283"/>
        </w:trPr>
        <w:tc>
          <w:tcPr>
            <w:gridSpan w:val="3"/>
            <w:tcW w:w="992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595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Критерий 2. Характеристика кадрового состава (максимум 27 баллов)</w:t>
            </w:r>
            <w:r>
              <w:rPr>
                <w:bCs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</w:pPr>
            <w:r>
              <w:rPr>
                <w:sz w:val="24"/>
                <w:szCs w:val="24"/>
              </w:rPr>
              <w:t xml:space="preserve">Доля педагогов, реализующих дополнительные общеобразовательные программы естественно-научной и технической направленностей, в общей численности педагогов 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9 баллов – от 81% до 100%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8 баллов – от 71% до 80%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7 баллов – от 61% до 70%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6 баллов – от 51% до 60%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5 баллов – от 41% до 50%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4 балла – от 31% до 40%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3 балла – от 21% до 30%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2 балла – от 11% до 20%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от 1% до 10%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0%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</w:pPr>
            <w:r>
              <w:rPr>
                <w:sz w:val="24"/>
                <w:szCs w:val="24"/>
              </w:rPr>
              <w:t xml:space="preserve">Доля педагогов высшей квалификационной категории, реализующих дополнительные </w:t>
            </w:r>
            <w:r>
              <w:rPr>
                <w:sz w:val="24"/>
                <w:szCs w:val="24"/>
              </w:rPr>
              <w:t xml:space="preserve">общеобразовательные программы </w:t>
            </w:r>
            <w:r>
              <w:rPr>
                <w:sz w:val="24"/>
                <w:szCs w:val="24"/>
              </w:rPr>
              <w:t xml:space="preserve">естественно-научной</w:t>
            </w:r>
            <w:r>
              <w:rPr>
                <w:sz w:val="24"/>
                <w:szCs w:val="24"/>
              </w:rPr>
              <w:t xml:space="preserve"> и технической направленностей, в общей численности педагогов высшей квалификационной категории  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9 баллов – от 81% до 100%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8 баллов – от 71% до 80%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7 баллов – от 61% до 70%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6 баллов – от 51% до 60%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5 баллов – от 41% до 50%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4 балла – от 31% до 40%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3 балла – от 21% до 30%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2 балла – от 11% до 20%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от 1% до 10%</w:t>
            </w:r>
            <w:r/>
          </w:p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0%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Доля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прошедших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повышения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квалификации по работе с одаренными и высокомотивированными детьми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highlight w:val="white"/>
              </w:rPr>
              <w:t xml:space="preserve">ОЦ «Сириус»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РЦ «Аль</w:t>
            </w:r>
            <w:r>
              <w:rPr>
                <w:sz w:val="24"/>
                <w:szCs w:val="24"/>
                <w:highlight w:val="white"/>
              </w:rPr>
              <w:t xml:space="preserve">таир»,</w:t>
            </w:r>
            <w:r>
              <w:rPr>
                <w:spacing w:val="115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«Академии наставников «</w:t>
            </w:r>
            <w:r>
              <w:rPr>
                <w:sz w:val="24"/>
                <w:szCs w:val="24"/>
                <w:highlight w:val="white"/>
              </w:rPr>
              <w:t xml:space="preserve">Сколково</w:t>
            </w:r>
            <w:r>
              <w:rPr>
                <w:sz w:val="24"/>
                <w:szCs w:val="24"/>
                <w:highlight w:val="white"/>
              </w:rPr>
              <w:t xml:space="preserve">», </w:t>
            </w:r>
            <w:r>
              <w:rPr>
                <w:sz w:val="24"/>
                <w:szCs w:val="24"/>
                <w:highlight w:val="white"/>
              </w:rPr>
              <w:t xml:space="preserve">СУНЦ НГУ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 НГУ,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НИПКиПРО</w:t>
            </w:r>
            <w:r>
              <w:rPr>
                <w:sz w:val="24"/>
                <w:szCs w:val="24"/>
                <w:highlight w:val="white"/>
              </w:rPr>
              <w:t xml:space="preserve">, в общей численности педагогов </w:t>
            </w:r>
            <w:r>
              <w:rPr>
                <w:highlight w:val="white"/>
              </w:rPr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9 баллов – от 81% до 100%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8 баллов – от 71% до 80%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7 баллов – от 61% до 70%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6 баллов – от 51% до 60%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5 баллов – от 41% до 50%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4 балла – от 31% до 40%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3 балла – от 21% до 30%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2 балла – от 11% до 20%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от 1% до 10%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0%</w:t>
            </w:r>
            <w:r>
              <w:rPr>
                <w:rFonts w:eastAsiaTheme="minorHAnsi"/>
              </w:rPr>
            </w:r>
            <w:r/>
          </w:p>
        </w:tc>
      </w:tr>
      <w:tr>
        <w:trPr>
          <w:trHeight w:val="283"/>
        </w:trPr>
        <w:tc>
          <w:tcPr>
            <w:gridSpan w:val="3"/>
            <w:tcW w:w="9923" w:type="dxa"/>
            <w:vAlign w:val="center"/>
            <w:textDirection w:val="lrTb"/>
            <w:noWrap w:val="false"/>
          </w:tcPr>
          <w:p>
            <w:pPr>
              <w:pStyle w:val="897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Критерий 3. Организационная структура партнерства (максимум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12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балл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ов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</w:pPr>
            <w:r>
              <w:rPr>
                <w:sz w:val="24"/>
                <w:szCs w:val="24"/>
              </w:rPr>
              <w:t xml:space="preserve">Количество</w:t>
            </w:r>
            <w:r>
              <w:rPr>
                <w:sz w:val="24"/>
                <w:szCs w:val="24"/>
              </w:rPr>
              <w:t xml:space="preserve"> академически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партнеро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(преподавател</w:t>
            </w:r>
            <w:r>
              <w:rPr>
                <w:sz w:val="24"/>
                <w:szCs w:val="24"/>
              </w:rPr>
              <w:t xml:space="preserve">ей</w:t>
            </w:r>
            <w:r>
              <w:rPr>
                <w:sz w:val="24"/>
                <w:szCs w:val="24"/>
              </w:rPr>
              <w:t xml:space="preserve"> СПО, профильных ВУЗов) при реализации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дополнительных общеобразовательных программ естественнонаучной и технической направленностей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3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балл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а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–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представлено  соглашение с тремя и более академическими партнерами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2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балл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а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–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представлено  соглашение с двумя академическими партнерами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представлено  соглашение с одним академическим партнером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</w:pPr>
            <w:r>
              <w:rPr>
                <w:sz w:val="24"/>
                <w:szCs w:val="24"/>
              </w:rPr>
              <w:t xml:space="preserve">Количество</w:t>
            </w:r>
            <w:r>
              <w:rPr>
                <w:sz w:val="24"/>
                <w:szCs w:val="24"/>
              </w:rPr>
              <w:t xml:space="preserve"> индустриальны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партнеро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(представител</w:t>
            </w:r>
            <w:r>
              <w:rPr>
                <w:sz w:val="24"/>
                <w:szCs w:val="24"/>
              </w:rPr>
              <w:t xml:space="preserve">ей</w:t>
            </w:r>
            <w:r>
              <w:rPr>
                <w:sz w:val="24"/>
                <w:szCs w:val="24"/>
              </w:rPr>
              <w:t xml:space="preserve"> бизнеса, специалист</w:t>
            </w:r>
            <w:r>
              <w:rPr>
                <w:sz w:val="24"/>
                <w:szCs w:val="24"/>
              </w:rPr>
              <w:t xml:space="preserve">ов</w:t>
            </w:r>
            <w:r>
              <w:rPr>
                <w:sz w:val="24"/>
                <w:szCs w:val="24"/>
              </w:rPr>
              <w:t xml:space="preserve"> технических профессий) к реализации проектно-исследовательской и кружковой деятельности 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3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балл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а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–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представлено  соглашение с тремя и более индустриальными партнерами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2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балл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а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–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представлено  соглашение с двумя индустриальными партнерами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представлено  соглашение с одним индустриальным партнером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</w:pPr>
            <w:r>
              <w:rPr>
                <w:sz w:val="24"/>
                <w:szCs w:val="24"/>
              </w:rPr>
              <w:t xml:space="preserve">Количество</w:t>
            </w:r>
            <w:r>
              <w:rPr>
                <w:sz w:val="24"/>
                <w:szCs w:val="24"/>
              </w:rPr>
              <w:t xml:space="preserve"> писем поддержки академических и (или) индустриальных партнеров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3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балл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а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–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представлено  три письма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2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балл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а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 –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представлено  два письма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представлено  одно письмо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</w:pPr>
            <w:r>
              <w:rPr>
                <w:sz w:val="24"/>
                <w:szCs w:val="24"/>
              </w:rPr>
              <w:t xml:space="preserve">Наличие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перспективн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мероприятий («дорожн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развитии сотрудничества с </w:t>
            </w:r>
            <w:r>
              <w:rPr>
                <w:sz w:val="24"/>
                <w:szCs w:val="24"/>
              </w:rPr>
              <w:t xml:space="preserve">академически</w:t>
            </w:r>
            <w:r>
              <w:rPr>
                <w:sz w:val="24"/>
                <w:szCs w:val="24"/>
              </w:rPr>
              <w:t xml:space="preserve">м(</w:t>
            </w:r>
            <w:r>
              <w:rPr>
                <w:sz w:val="24"/>
                <w:szCs w:val="24"/>
              </w:rPr>
              <w:t xml:space="preserve">и) и индустриальным(и) партнерами, согласованного с </w:t>
            </w:r>
            <w:r>
              <w:rPr>
                <w:sz w:val="24"/>
                <w:szCs w:val="24"/>
              </w:rPr>
              <w:t xml:space="preserve">СПО и (или) ВУЗами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</w:pPr>
            <w:r>
              <w:rPr>
                <w:sz w:val="24"/>
                <w:szCs w:val="24"/>
              </w:rPr>
              <w:t xml:space="preserve">Указаны конкретные формы сотрудничества с СПО </w:t>
            </w:r>
            <w:r>
              <w:rPr>
                <w:sz w:val="24"/>
                <w:szCs w:val="24"/>
              </w:rPr>
              <w:t xml:space="preserve">и(</w:t>
            </w:r>
            <w:r>
              <w:rPr>
                <w:sz w:val="24"/>
                <w:szCs w:val="24"/>
              </w:rPr>
              <w:t xml:space="preserve">или) профильными ВУЗами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</w:pPr>
            <w:r>
              <w:rPr>
                <w:sz w:val="24"/>
                <w:szCs w:val="24"/>
              </w:rPr>
              <w:t xml:space="preserve">Указаны ожидаемые результаты от сотрудничества с СПО </w:t>
            </w:r>
            <w:r>
              <w:rPr>
                <w:sz w:val="24"/>
                <w:szCs w:val="24"/>
              </w:rPr>
              <w:t xml:space="preserve">и (</w:t>
            </w:r>
            <w:r>
              <w:rPr>
                <w:sz w:val="24"/>
                <w:szCs w:val="24"/>
              </w:rPr>
              <w:t xml:space="preserve">или) профильными ВУЗами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>
          <w:trHeight w:val="340"/>
        </w:trPr>
        <w:tc>
          <w:tcPr>
            <w:gridSpan w:val="3"/>
            <w:tcW w:w="9923" w:type="dxa"/>
            <w:vAlign w:val="center"/>
            <w:textDirection w:val="lrTb"/>
            <w:noWrap w:val="false"/>
          </w:tcPr>
          <w:p>
            <w:pPr>
              <w:pStyle w:val="897"/>
              <w:spacing w:after="0" w:line="240" w:lineRule="auto"/>
              <w:shd w:val="clear" w:color="auto" w:fill="auto"/>
              <w:tabs>
                <w:tab w:val="left" w:pos="322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Критерий 4. Материально-техническое обеспечение (максимум 6 баллов)</w:t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  <w:t xml:space="preserve">Наличие компьютерного и презентационного оборудования: ноутбуков, тележки для зарядки и хранения ноутбуков, МФУ, </w:t>
            </w:r>
            <w:r>
              <w:rPr>
                <w:sz w:val="24"/>
                <w:szCs w:val="24"/>
              </w:rPr>
              <w:t xml:space="preserve">флипчарт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  <w:tabs>
                <w:tab w:val="left" w:pos="326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2 – соответствует полностью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  <w:tabs>
                <w:tab w:val="left" w:pos="326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– соответствует частично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  <w:tabs>
                <w:tab w:val="left" w:pos="322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– отсутствует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  <w:t xml:space="preserve">Наличие производственного оборудования: станции паяльной, </w:t>
            </w:r>
            <w:r>
              <w:rPr>
                <w:sz w:val="24"/>
                <w:szCs w:val="24"/>
              </w:rPr>
              <w:t xml:space="preserve">мультиметра</w:t>
            </w:r>
            <w:r>
              <w:rPr>
                <w:sz w:val="24"/>
                <w:szCs w:val="24"/>
              </w:rPr>
              <w:t xml:space="preserve"> цифрового, держателя плат, </w:t>
            </w:r>
            <w:r>
              <w:rPr>
                <w:sz w:val="24"/>
                <w:szCs w:val="24"/>
              </w:rPr>
              <w:t xml:space="preserve">оловоотсоса</w:t>
            </w:r>
            <w:r>
              <w:rPr>
                <w:sz w:val="24"/>
                <w:szCs w:val="24"/>
              </w:rPr>
              <w:t xml:space="preserve">, набора пассатижей и </w:t>
            </w:r>
            <w:r>
              <w:rPr>
                <w:sz w:val="24"/>
                <w:szCs w:val="24"/>
              </w:rPr>
              <w:t xml:space="preserve">бокорезов</w:t>
            </w:r>
            <w:r>
              <w:rPr>
                <w:sz w:val="24"/>
                <w:szCs w:val="24"/>
              </w:rPr>
              <w:t xml:space="preserve">, набора диэлектрических отверток, 3D принтера, лазера, дрели-</w:t>
            </w:r>
            <w:r>
              <w:rPr>
                <w:sz w:val="24"/>
                <w:szCs w:val="24"/>
              </w:rPr>
              <w:t xml:space="preserve">шуруповерта</w:t>
            </w:r>
            <w:r>
              <w:rPr>
                <w:sz w:val="24"/>
                <w:szCs w:val="24"/>
              </w:rPr>
              <w:t xml:space="preserve"> аккумуляторного, набора инструментов для оснащения автомастерской, сборочно-монтажного цеха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  <w:tabs>
                <w:tab w:val="left" w:pos="326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2 – соответствует полностью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  <w:tabs>
                <w:tab w:val="left" w:pos="326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– соответствует частично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  <w:tabs>
                <w:tab w:val="left" w:pos="322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– отсутствует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  <w:t xml:space="preserve">Наличие образовательных комплектов </w:t>
            </w:r>
            <w:r>
              <w:rPr>
                <w:sz w:val="24"/>
                <w:szCs w:val="24"/>
              </w:rPr>
              <w:t xml:space="preserve">киберфизических</w:t>
            </w:r>
            <w:r>
              <w:rPr>
                <w:sz w:val="24"/>
                <w:szCs w:val="24"/>
              </w:rPr>
              <w:t xml:space="preserve"> систем: набора электроники, комплекта для проведения юных </w:t>
            </w:r>
            <w:r>
              <w:rPr>
                <w:sz w:val="24"/>
                <w:szCs w:val="24"/>
              </w:rPr>
              <w:t xml:space="preserve">киберфизиков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  <w:tabs>
                <w:tab w:val="left" w:pos="326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2 – соответствует полностью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  <w:tabs>
                <w:tab w:val="left" w:pos="326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– соответствует частично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  <w:tabs>
                <w:tab w:val="left" w:pos="322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– отсутствует</w:t>
            </w:r>
            <w:r>
              <w:rPr>
                <w:rFonts w:eastAsiaTheme="minorHAnsi"/>
              </w:rPr>
            </w:r>
            <w:r/>
          </w:p>
        </w:tc>
      </w:tr>
      <w:tr>
        <w:trPr>
          <w:trHeight w:val="283"/>
        </w:trPr>
        <w:tc>
          <w:tcPr>
            <w:gridSpan w:val="3"/>
            <w:tcW w:w="9923" w:type="dxa"/>
            <w:vAlign w:val="center"/>
            <w:textDirection w:val="lrTb"/>
            <w:noWrap w:val="false"/>
          </w:tcPr>
          <w:p>
            <w:pPr>
              <w:pStyle w:val="897"/>
              <w:spacing w:after="0" w:line="240" w:lineRule="auto"/>
              <w:shd w:val="clear" w:color="auto" w:fill="auto"/>
              <w:tabs>
                <w:tab w:val="left" w:pos="322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Критерий 5. Электронно-образовательная среда (максимум 4 балла)</w:t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  <w:t xml:space="preserve">Наличие общего открытого доступа к описаниям реализуемых дополнительных образовательных программ на официальном сайте организации дополнительного образования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  <w:t xml:space="preserve">Наличие общего открытого доступа к ГИС «Навигатор ДО НСО» со страницы официального сайта организации дополнительного образования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  <w:t xml:space="preserve">Наличие доступа к изданиям электронных библиотечных систем, образовательным ресурсам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электронного</w:t>
            </w:r>
            <w:r>
              <w:rPr>
                <w:sz w:val="24"/>
                <w:szCs w:val="24"/>
              </w:rPr>
              <w:t xml:space="preserve"> портфолио обучающегося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>
          <w:trHeight w:val="510"/>
        </w:trPr>
        <w:tc>
          <w:tcPr>
            <w:gridSpan w:val="3"/>
            <w:tcW w:w="9923" w:type="dxa"/>
            <w:vAlign w:val="center"/>
            <w:textDirection w:val="lrTb"/>
            <w:noWrap w:val="false"/>
          </w:tcPr>
          <w:p>
            <w:pPr>
              <w:pStyle w:val="689"/>
              <w:jc w:val="center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Критерий 6. Результативность участия </w:t>
            </w:r>
            <w:r>
              <w:rPr>
                <w:rStyle w:val="896"/>
                <w:rFonts w:eastAsiaTheme="minorHAnsi"/>
                <w:sz w:val="24"/>
                <w:szCs w:val="24"/>
              </w:rPr>
              <w:t xml:space="preserve">обучающихся</w:t>
            </w:r>
            <w:r/>
          </w:p>
          <w:p>
            <w:pPr>
              <w:pStyle w:val="689"/>
              <w:jc w:val="center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в конкурсных (значимых) мероприятиях (максимум 4 балла)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689"/>
              <w:jc w:val="both"/>
            </w:pPr>
            <w:r>
              <w:rPr>
                <w:sz w:val="24"/>
                <w:szCs w:val="24"/>
              </w:rPr>
              <w:t xml:space="preserve">Наличие дипломов победителей и призеров заключительного этапа (финала) Всероссийского конкурса научно-технологических проектов «Большие вызовы» 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Наличие дипломов победителей и призеров заключительного этапа (финала)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Всероссийской междисциплинарной олимпиаде школьников «Национальная технологическая олимпиада</w:t>
            </w:r>
            <w:r>
              <w:rPr>
                <w:color w:val="000000"/>
                <w:sz w:val="24"/>
                <w:szCs w:val="24"/>
              </w:rPr>
              <w:t xml:space="preserve"> Junior»</w:t>
            </w:r>
            <w:r>
              <w:rPr>
                <w:color w:val="000000"/>
              </w:rPr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Наличие дипломов победителей и призеров заключительного этапа (финала)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Всероссийской междисциплинарной олимпиаде школьников «Национальная технологическая олимпиада»</w:t>
            </w:r>
            <w:r>
              <w:rPr>
                <w:color w:val="000000"/>
              </w:rPr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97"/>
              <w:numPr>
                <w:ilvl w:val="0"/>
                <w:numId w:val="10"/>
              </w:numPr>
              <w:jc w:val="center"/>
              <w:spacing w:after="0" w:line="240" w:lineRule="auto"/>
              <w:shd w:val="clear" w:color="auto" w:fill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5671" w:type="dxa"/>
            <w:vAlign w:val="center"/>
            <w:textDirection w:val="lrTb"/>
            <w:noWrap w:val="false"/>
          </w:tcPr>
          <w:p>
            <w:pPr>
              <w:pStyle w:val="897"/>
              <w:jc w:val="both"/>
              <w:spacing w:after="0" w:line="240" w:lineRule="auto"/>
              <w:shd w:val="clear" w:color="auto" w:fill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Количество дипломов победителей и призеров финального этапа Всероссийского конкурса среди учащихся общеобразовательных учреждений сельских поселений и малых городов «</w:t>
            </w:r>
            <w:r>
              <w:rPr>
                <w:sz w:val="24"/>
                <w:szCs w:val="24"/>
              </w:rPr>
              <w:t xml:space="preserve">АгроНТРИ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color w:val="000000"/>
              </w:rPr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1 балл – да</w:t>
            </w:r>
            <w:r/>
          </w:p>
          <w:p>
            <w:pPr>
              <w:pStyle w:val="897"/>
              <w:jc w:val="left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0 баллов – нет</w:t>
            </w:r>
            <w:r>
              <w:rPr>
                <w:rFonts w:eastAsiaTheme="minorHAnsi"/>
              </w:rPr>
            </w:r>
            <w:r/>
          </w:p>
        </w:tc>
      </w:tr>
      <w:tr>
        <w:trPr>
          <w:trHeight w:val="340"/>
        </w:trPr>
        <w:tc>
          <w:tcPr>
            <w:gridSpan w:val="2"/>
            <w:tcW w:w="6379" w:type="dxa"/>
            <w:vAlign w:val="center"/>
            <w:textDirection w:val="lrTb"/>
            <w:noWrap w:val="false"/>
          </w:tcPr>
          <w:p>
            <w:pPr>
              <w:pStyle w:val="897"/>
              <w:spacing w:after="0" w:line="240" w:lineRule="auto"/>
              <w:shd w:val="clear" w:color="auto" w:fill="auto"/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Итого максимум баллов: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897"/>
              <w:jc w:val="center"/>
              <w:spacing w:after="0" w:line="240" w:lineRule="auto"/>
              <w:shd w:val="clear" w:color="auto" w:fill="auto"/>
              <w:tabs>
                <w:tab w:val="left" w:pos="322" w:leader="none"/>
              </w:tabs>
            </w:pPr>
            <w:r>
              <w:rPr>
                <w:rStyle w:val="896"/>
                <w:rFonts w:eastAsiaTheme="minorHAnsi"/>
                <w:sz w:val="24"/>
                <w:szCs w:val="24"/>
              </w:rPr>
              <w:t xml:space="preserve">56</w:t>
            </w:r>
            <w:r/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lef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jc w:val="lef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Calibri" w:cs="Liberation Serif"/>
          <w:sz w:val="28"/>
          <w:szCs w:val="28"/>
          <w:highlight w:val="none"/>
          <w:lang w:eastAsia="en-US"/>
        </w:rPr>
      </w:r>
      <w:r/>
    </w:p>
    <w:sectPr>
      <w:footnotePr/>
      <w:endnotePr/>
      <w:type w:val="continuous"/>
      <w:pgSz w:w="11906" w:h="16838" w:orient="portrait"/>
      <w:pgMar w:top="1134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Liberation Serif">
    <w:panose1 w:val="02020603050405020304"/>
  </w:font>
  <w:font w:name="Calibri Light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helvetica neue">
    <w:panose1 w:val="02000603000000000000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5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6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7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9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60">
    <w:name w:val="Title Char"/>
    <w:basedOn w:val="676"/>
    <w:link w:val="690"/>
    <w:uiPriority w:val="10"/>
    <w:rPr>
      <w:sz w:val="48"/>
      <w:szCs w:val="48"/>
    </w:rPr>
  </w:style>
  <w:style w:type="character" w:styleId="661">
    <w:name w:val="Subtitle Char"/>
    <w:basedOn w:val="676"/>
    <w:link w:val="692"/>
    <w:uiPriority w:val="11"/>
    <w:rPr>
      <w:sz w:val="24"/>
      <w:szCs w:val="24"/>
    </w:rPr>
  </w:style>
  <w:style w:type="character" w:styleId="662">
    <w:name w:val="Quote Char"/>
    <w:link w:val="694"/>
    <w:uiPriority w:val="29"/>
    <w:rPr>
      <w:i/>
    </w:rPr>
  </w:style>
  <w:style w:type="character" w:styleId="663">
    <w:name w:val="Intense Quote Char"/>
    <w:link w:val="696"/>
    <w:uiPriority w:val="30"/>
    <w:rPr>
      <w:i/>
    </w:rPr>
  </w:style>
  <w:style w:type="character" w:styleId="664">
    <w:name w:val="Footnote Text Char"/>
    <w:link w:val="831"/>
    <w:uiPriority w:val="99"/>
    <w:rPr>
      <w:sz w:val="18"/>
    </w:rPr>
  </w:style>
  <w:style w:type="character" w:styleId="665">
    <w:name w:val="Endnote Text Char"/>
    <w:link w:val="834"/>
    <w:uiPriority w:val="99"/>
    <w:rPr>
      <w:sz w:val="20"/>
    </w:rPr>
  </w:style>
  <w:style w:type="paragraph" w:styleId="666" w:default="1">
    <w:name w:val="Normal"/>
    <w:qFormat/>
    <w:rPr>
      <w:rFonts w:ascii="Times New Roman" w:hAnsi="Times New Roman" w:eastAsia="Times New Roman"/>
      <w:lang w:eastAsia="ru-RU"/>
    </w:rPr>
  </w:style>
  <w:style w:type="paragraph" w:styleId="667">
    <w:name w:val="Heading 1"/>
    <w:basedOn w:val="666"/>
    <w:next w:val="666"/>
    <w:link w:val="880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668">
    <w:name w:val="Heading 2"/>
    <w:basedOn w:val="666"/>
    <w:next w:val="666"/>
    <w:link w:val="889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69">
    <w:name w:val="Heading 3"/>
    <w:basedOn w:val="666"/>
    <w:next w:val="666"/>
    <w:link w:val="848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No Spacing"/>
    <w:link w:val="893"/>
    <w:uiPriority w:val="1"/>
    <w:qFormat/>
    <w:rPr>
      <w:rFonts w:ascii="Times New Roman" w:hAnsi="Times New Roman" w:eastAsia="Times New Roman"/>
      <w:lang w:eastAsia="ru-RU"/>
    </w:rPr>
  </w:style>
  <w:style w:type="paragraph" w:styleId="690">
    <w:name w:val="Title"/>
    <w:basedOn w:val="666"/>
    <w:next w:val="666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 w:customStyle="1">
    <w:name w:val="Заголовок Знак"/>
    <w:link w:val="690"/>
    <w:uiPriority w:val="10"/>
    <w:rPr>
      <w:sz w:val="48"/>
      <w:szCs w:val="48"/>
    </w:rPr>
  </w:style>
  <w:style w:type="paragraph" w:styleId="692">
    <w:name w:val="Subtitle"/>
    <w:basedOn w:val="666"/>
    <w:next w:val="666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 w:customStyle="1">
    <w:name w:val="Подзаголовок Знак"/>
    <w:link w:val="692"/>
    <w:uiPriority w:val="11"/>
    <w:rPr>
      <w:sz w:val="24"/>
      <w:szCs w:val="24"/>
    </w:rPr>
  </w:style>
  <w:style w:type="paragraph" w:styleId="694">
    <w:name w:val="Quote"/>
    <w:basedOn w:val="666"/>
    <w:next w:val="666"/>
    <w:link w:val="695"/>
    <w:uiPriority w:val="29"/>
    <w:qFormat/>
    <w:pPr>
      <w:ind w:left="720" w:right="720"/>
    </w:pPr>
    <w:rPr>
      <w:i/>
    </w:rPr>
  </w:style>
  <w:style w:type="character" w:styleId="695" w:customStyle="1">
    <w:name w:val="Цитата 2 Знак"/>
    <w:link w:val="694"/>
    <w:uiPriority w:val="29"/>
    <w:rPr>
      <w:i/>
    </w:rPr>
  </w:style>
  <w:style w:type="paragraph" w:styleId="696">
    <w:name w:val="Intense Quote"/>
    <w:basedOn w:val="666"/>
    <w:next w:val="666"/>
    <w:link w:val="6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 w:customStyle="1">
    <w:name w:val="Выделенная цитата Знак"/>
    <w:link w:val="696"/>
    <w:uiPriority w:val="30"/>
    <w:rPr>
      <w:i/>
    </w:rPr>
  </w:style>
  <w:style w:type="paragraph" w:styleId="698">
    <w:name w:val="Header"/>
    <w:basedOn w:val="666"/>
    <w:link w:val="854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699" w:customStyle="1">
    <w:name w:val="Header Char"/>
    <w:uiPriority w:val="99"/>
  </w:style>
  <w:style w:type="paragraph" w:styleId="700">
    <w:name w:val="Footer"/>
    <w:basedOn w:val="666"/>
    <w:link w:val="855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01" w:customStyle="1">
    <w:name w:val="Footer Char"/>
    <w:uiPriority w:val="99"/>
  </w:style>
  <w:style w:type="paragraph" w:styleId="702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 w:customStyle="1">
    <w:name w:val="Caption Char"/>
    <w:uiPriority w:val="99"/>
  </w:style>
  <w:style w:type="table" w:styleId="704">
    <w:name w:val="Table Grid"/>
    <w:basedOn w:val="677"/>
    <w:tblPr/>
  </w:style>
  <w:style w:type="table" w:styleId="70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0">
    <w:name w:val="Hyperlink"/>
    <w:unhideWhenUsed/>
    <w:rPr>
      <w:color w:val="0000ff"/>
      <w:u w:val="single"/>
    </w:rPr>
  </w:style>
  <w:style w:type="paragraph" w:styleId="831">
    <w:name w:val="footnote text"/>
    <w:basedOn w:val="666"/>
    <w:link w:val="832"/>
    <w:uiPriority w:val="99"/>
    <w:semiHidden/>
    <w:unhideWhenUsed/>
    <w:pPr>
      <w:spacing w:after="40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666"/>
    <w:link w:val="835"/>
    <w:uiPriority w:val="99"/>
    <w:semiHidden/>
    <w:unhideWhenUsed/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666"/>
    <w:next w:val="666"/>
    <w:uiPriority w:val="39"/>
    <w:unhideWhenUsed/>
    <w:pPr>
      <w:spacing w:after="57"/>
    </w:pPr>
  </w:style>
  <w:style w:type="paragraph" w:styleId="838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9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40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41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2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3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4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5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66"/>
    <w:next w:val="666"/>
    <w:uiPriority w:val="99"/>
    <w:unhideWhenUsed/>
  </w:style>
  <w:style w:type="character" w:styleId="848" w:customStyle="1">
    <w:name w:val="Заголовок 3 Знак"/>
    <w:link w:val="66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9" w:customStyle="1">
    <w:name w:val="Абзац списка;ПАРАГРАФ;Абзац списка11;List Paragraph;Текст с номером;Абзац списка для документа;Абзац списка4;Абзац списка основной;Нумерованый список;List Paragraph1;Use Case List Paragraph;Маркер;ТЗ список;Абзац списка литеральный;Bullet List"/>
    <w:basedOn w:val="666"/>
    <w:link w:val="885"/>
    <w:uiPriority w:val="34"/>
    <w:qFormat/>
    <w:pPr>
      <w:contextualSpacing/>
      <w:ind w:left="720"/>
    </w:pPr>
    <w:rPr>
      <w:lang w:val="en-US"/>
    </w:rPr>
  </w:style>
  <w:style w:type="paragraph" w:styleId="850">
    <w:name w:val="Balloon Text"/>
    <w:basedOn w:val="666"/>
    <w:link w:val="851"/>
    <w:semiHidden/>
    <w:unhideWhenUsed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link w:val="85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2" w:customStyle="1">
    <w:name w:val="Заголовок 11"/>
    <w:basedOn w:val="666"/>
    <w:next w:val="666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853" w:customStyle="1">
    <w:name w:val="Нет списка1"/>
    <w:next w:val="678"/>
    <w:uiPriority w:val="99"/>
    <w:semiHidden/>
    <w:unhideWhenUsed/>
  </w:style>
  <w:style w:type="character" w:styleId="854" w:customStyle="1">
    <w:name w:val="Верхний колонтитул Знак"/>
    <w:link w:val="698"/>
    <w:uiPriority w:val="99"/>
    <w:rPr>
      <w:rFonts w:ascii="Calibri" w:hAnsi="Calibri" w:eastAsia="Calibri" w:cs="Times New Roman"/>
    </w:rPr>
  </w:style>
  <w:style w:type="character" w:styleId="855" w:customStyle="1">
    <w:name w:val="Нижний колонтитул Знак"/>
    <w:link w:val="700"/>
    <w:uiPriority w:val="99"/>
    <w:rPr>
      <w:rFonts w:ascii="Calibri" w:hAnsi="Calibri" w:eastAsia="Calibri" w:cs="Times New Roman"/>
    </w:rPr>
  </w:style>
  <w:style w:type="numbering" w:styleId="856" w:customStyle="1">
    <w:name w:val="Нет списка11"/>
    <w:next w:val="678"/>
    <w:uiPriority w:val="99"/>
    <w:semiHidden/>
    <w:unhideWhenUsed/>
  </w:style>
  <w:style w:type="table" w:styleId="857" w:customStyle="1">
    <w:name w:val="Сетка таблицы1"/>
    <w:basedOn w:val="677"/>
    <w:next w:val="704"/>
    <w:uiPriority w:val="39"/>
    <w:tblPr/>
  </w:style>
  <w:style w:type="character" w:styleId="858">
    <w:name w:val="FollowedHyperlink"/>
    <w:uiPriority w:val="99"/>
    <w:semiHidden/>
    <w:unhideWhenUsed/>
    <w:rPr>
      <w:color w:val="800080"/>
      <w:u w:val="single"/>
    </w:rPr>
  </w:style>
  <w:style w:type="paragraph" w:styleId="859" w:customStyle="1">
    <w:name w:val="xl114"/>
    <w:basedOn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0" w:customStyle="1">
    <w:name w:val="xl115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1" w:customStyle="1">
    <w:name w:val="xl116"/>
    <w:basedOn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2" w:customStyle="1">
    <w:name w:val="xl117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3" w:customStyle="1">
    <w:name w:val="xl118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4" w:customStyle="1">
    <w:name w:val="xl119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5" w:customStyle="1">
    <w:name w:val="xl120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6" w:customStyle="1">
    <w:name w:val="xl121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7" w:customStyle="1">
    <w:name w:val="xl122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8" w:customStyle="1">
    <w:name w:val="xl123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9" w:customStyle="1">
    <w:name w:val="xl124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0" w:customStyle="1">
    <w:name w:val="xl125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1" w:customStyle="1">
    <w:name w:val="xl126"/>
    <w:basedOn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2" w:customStyle="1">
    <w:name w:val="xl127"/>
    <w:basedOn w:val="666"/>
    <w:pPr>
      <w:spacing w:before="100" w:beforeAutospacing="1" w:after="100" w:afterAutospacing="1"/>
    </w:pPr>
    <w:rPr>
      <w:sz w:val="24"/>
      <w:szCs w:val="24"/>
    </w:rPr>
  </w:style>
  <w:style w:type="paragraph" w:styleId="873" w:customStyle="1">
    <w:name w:val="xl128"/>
    <w:basedOn w:val="66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74" w:customStyle="1">
    <w:name w:val="xl129"/>
    <w:basedOn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5" w:customStyle="1">
    <w:name w:val="xl112"/>
    <w:basedOn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6" w:customStyle="1">
    <w:name w:val="xl113"/>
    <w:basedOn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877" w:customStyle="1">
    <w:name w:val="Сетка таблицы2"/>
    <w:basedOn w:val="677"/>
    <w:next w:val="704"/>
    <w:uiPriority w:val="39"/>
    <w:tblPr/>
  </w:style>
  <w:style w:type="paragraph" w:styleId="878" w:customStyle="1">
    <w:name w:val="xl110"/>
    <w:basedOn w:val="66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79" w:customStyle="1">
    <w:name w:val="xl111"/>
    <w:basedOn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880" w:customStyle="1">
    <w:name w:val="Заголовок 1 Знак"/>
    <w:link w:val="667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881">
    <w:name w:val="annotation reference"/>
    <w:uiPriority w:val="99"/>
    <w:semiHidden/>
    <w:unhideWhenUsed/>
    <w:rPr>
      <w:sz w:val="16"/>
      <w:szCs w:val="16"/>
    </w:rPr>
  </w:style>
  <w:style w:type="paragraph" w:styleId="882">
    <w:name w:val="annotation text"/>
    <w:basedOn w:val="666"/>
    <w:link w:val="883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883" w:customStyle="1">
    <w:name w:val="Текст примечания Знак"/>
    <w:link w:val="882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884" w:customStyle="1">
    <w:name w:val="Заголовок 1 Знак1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885" w:customStyle="1">
    <w:name w:val="Абзац списка Знак;ПАРАГРАФ Знак;Абзац списка11 Знак;List Paragraph Знак;Текст с номером Знак;Абзац списка для документа Знак;Абзац списка4 Знак;Абзац списка основной Знак;Нумерованый список Знак;List Paragraph1 Знак;Use Case List Paragraph Знак"/>
    <w:link w:val="849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6">
    <w:name w:val="Emphasis"/>
    <w:uiPriority w:val="20"/>
    <w:qFormat/>
    <w:rPr>
      <w:i/>
      <w:iCs/>
    </w:rPr>
  </w:style>
  <w:style w:type="paragraph" w:styleId="887" w:customStyle="1">
    <w:name w:val="Style1"/>
    <w:basedOn w:val="666"/>
    <w:uiPriority w:val="99"/>
    <w:pPr>
      <w:ind w:firstLine="715"/>
      <w:jc w:val="both"/>
      <w:spacing w:line="322" w:lineRule="exact"/>
      <w:widowControl w:val="off"/>
    </w:pPr>
    <w:rPr>
      <w:sz w:val="24"/>
      <w:szCs w:val="24"/>
    </w:rPr>
  </w:style>
  <w:style w:type="character" w:styleId="888" w:customStyle="1">
    <w:name w:val="Font Style57"/>
    <w:uiPriority w:val="99"/>
    <w:rPr>
      <w:rFonts w:ascii="Times New Roman" w:hAnsi="Times New Roman" w:cs="Times New Roman"/>
      <w:sz w:val="26"/>
      <w:szCs w:val="26"/>
    </w:rPr>
  </w:style>
  <w:style w:type="character" w:styleId="889" w:customStyle="1">
    <w:name w:val="Заголовок 2 Знак"/>
    <w:link w:val="668"/>
    <w:rPr>
      <w:rFonts w:ascii="Times New Roman" w:hAnsi="Times New Roman" w:eastAsia="Times New Roman"/>
      <w:b/>
      <w:sz w:val="28"/>
    </w:rPr>
  </w:style>
  <w:style w:type="paragraph" w:styleId="890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91" w:customStyle="1">
    <w:name w:val="ConsPlusNormal"/>
    <w:pPr>
      <w:widowControl w:val="off"/>
    </w:pPr>
    <w:rPr>
      <w:rFonts w:ascii="Arial" w:hAnsi="Arial" w:eastAsia="Times New Roman" w:cs="Arial"/>
      <w:lang w:eastAsia="ru-RU"/>
    </w:rPr>
  </w:style>
  <w:style w:type="paragraph" w:styleId="892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893" w:customStyle="1">
    <w:name w:val="Без интервала Знак"/>
    <w:link w:val="689"/>
    <w:uiPriority w:val="1"/>
    <w:rPr>
      <w:rFonts w:ascii="Times New Roman" w:hAnsi="Times New Roman" w:eastAsia="Times New Roman"/>
    </w:rPr>
  </w:style>
  <w:style w:type="paragraph" w:styleId="894" w:customStyle="1">
    <w:name w:val="ConsPlusTitlePage"/>
    <w:pPr>
      <w:widowControl w:val="off"/>
    </w:pPr>
    <w:rPr>
      <w:rFonts w:ascii="Tahoma" w:hAnsi="Tahoma" w:eastAsia="Times New Roman" w:cs="Tahoma"/>
      <w:szCs w:val="22"/>
      <w:lang w:eastAsia="ru-RU"/>
    </w:rPr>
  </w:style>
  <w:style w:type="paragraph" w:styleId="895" w:customStyle="1">
    <w:name w:val="Стиль таблицы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lang w:eastAsia="ru-RU"/>
    </w:rPr>
  </w:style>
  <w:style w:type="character" w:styleId="896" w:customStyle="1">
    <w:name w:val="Основной текст1"/>
    <w:rPr>
      <w:rFonts w:ascii="Times New Roman" w:hAnsi="Times New Roman"/>
      <w:color w:val="000000"/>
      <w:spacing w:val="0"/>
      <w:position w:val="0"/>
      <w:sz w:val="27"/>
      <w:u w:val="none"/>
      <w:lang w:val="ru-RU"/>
    </w:rPr>
  </w:style>
  <w:style w:type="paragraph" w:styleId="897" w:customStyle="1">
    <w:name w:val="Основной текст3"/>
    <w:basedOn w:val="838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30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://www.nsopravo.ru" TargetMode="External"/><Relationship Id="rId11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44</cp:revision>
  <dcterms:created xsi:type="dcterms:W3CDTF">2023-04-05T09:34:00Z</dcterms:created>
  <dcterms:modified xsi:type="dcterms:W3CDTF">2024-07-26T10:09:26Z</dcterms:modified>
  <cp:version>1048576</cp:version>
</cp:coreProperties>
</file>