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8C" w:rsidRDefault="00E67CA7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35A8C" w:rsidRDefault="00E67CA7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735A8C" w:rsidRDefault="00E67CA7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35A8C" w:rsidRDefault="00735A8C">
      <w:pPr>
        <w:spacing w:before="0"/>
        <w:jc w:val="both"/>
        <w:rPr>
          <w:sz w:val="28"/>
          <w:szCs w:val="28"/>
        </w:rPr>
      </w:pPr>
    </w:p>
    <w:p w:rsidR="00735A8C" w:rsidRDefault="00735A8C">
      <w:pPr>
        <w:jc w:val="both"/>
        <w:rPr>
          <w:sz w:val="28"/>
          <w:szCs w:val="28"/>
        </w:rPr>
      </w:pPr>
    </w:p>
    <w:p w:rsidR="00735A8C" w:rsidRDefault="00735A8C">
      <w:pPr>
        <w:jc w:val="both"/>
        <w:rPr>
          <w:sz w:val="28"/>
          <w:szCs w:val="28"/>
        </w:rPr>
      </w:pPr>
    </w:p>
    <w:p w:rsidR="00735A8C" w:rsidRDefault="00735A8C">
      <w:pPr>
        <w:spacing w:before="0" w:after="0"/>
        <w:rPr>
          <w:sz w:val="28"/>
          <w:szCs w:val="28"/>
        </w:rPr>
      </w:pPr>
    </w:p>
    <w:p w:rsidR="00735A8C" w:rsidRDefault="00E67CA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735A8C" w:rsidRDefault="00E67CA7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 20.02.2015 № 68-п</w:t>
      </w:r>
    </w:p>
    <w:p w:rsidR="00735A8C" w:rsidRDefault="00735A8C">
      <w:pPr>
        <w:spacing w:before="0" w:after="0"/>
        <w:jc w:val="center"/>
        <w:rPr>
          <w:sz w:val="28"/>
          <w:szCs w:val="28"/>
        </w:rPr>
      </w:pPr>
    </w:p>
    <w:p w:rsidR="00735A8C" w:rsidRDefault="00735A8C">
      <w:pPr>
        <w:spacing w:before="0" w:after="0"/>
        <w:jc w:val="center"/>
        <w:rPr>
          <w:sz w:val="28"/>
          <w:szCs w:val="28"/>
        </w:rPr>
      </w:pPr>
    </w:p>
    <w:p w:rsidR="00735A8C" w:rsidRDefault="00E67CA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</w:t>
      </w:r>
      <w:proofErr w:type="gramStart"/>
      <w:r>
        <w:rPr>
          <w:sz w:val="28"/>
          <w:szCs w:val="28"/>
        </w:rPr>
        <w:t xml:space="preserve">области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735A8C" w:rsidRDefault="00E67CA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20.02.2015 № 68-п «Об утверждении государственной программы Новосибирской области «Стимулирование развития жилищного строительства в Новосибирской области» следующие изменения:</w:t>
      </w:r>
    </w:p>
    <w:p w:rsidR="00735A8C" w:rsidRDefault="00E67CA7">
      <w:pPr>
        <w:tabs>
          <w:tab w:val="left" w:pos="709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государствен</w:t>
      </w:r>
      <w:r>
        <w:rPr>
          <w:sz w:val="28"/>
          <w:szCs w:val="28"/>
        </w:rPr>
        <w:t>ной программе Новосибирской области «Стимулирование развития жилищного строительства в Новосибирской области» (далее – государственная программа):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раздел I. «Паспорт государственной программы» изложить в редакции согласно приложению № 1 к настоящему пос</w:t>
      </w:r>
      <w:r>
        <w:rPr>
          <w:color w:val="000000" w:themeColor="text1"/>
          <w:sz w:val="28"/>
          <w:szCs w:val="28"/>
        </w:rPr>
        <w:t>тановлению;</w:t>
      </w:r>
    </w:p>
    <w:p w:rsidR="00735A8C" w:rsidRDefault="00E67CA7">
      <w:pPr>
        <w:widowControl w:val="0"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2) раздел II. «Обоснование необходимости реализации государственной программы» признать утратившим силу;</w:t>
      </w:r>
    </w:p>
    <w:p w:rsidR="00735A8C" w:rsidRDefault="00E67CA7">
      <w:pPr>
        <w:widowControl w:val="0"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3) раздел IV. «Система основных мероприятий государственной программы» 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4) </w:t>
      </w:r>
      <w:r>
        <w:rPr>
          <w:color w:val="000000" w:themeColor="text1"/>
          <w:sz w:val="28"/>
          <w:szCs w:val="28"/>
        </w:rPr>
        <w:t>приложение № 1 к государственной програ</w:t>
      </w:r>
      <w:r>
        <w:rPr>
          <w:color w:val="000000" w:themeColor="text1"/>
          <w:sz w:val="28"/>
          <w:szCs w:val="28"/>
        </w:rPr>
        <w:t>мме «Цели, задачи и целевые индикаторы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 № 2 к настоящему постановлению;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приложение № 2 к гос</w:t>
      </w:r>
      <w:r>
        <w:rPr>
          <w:color w:val="000000" w:themeColor="text1"/>
          <w:sz w:val="28"/>
          <w:szCs w:val="28"/>
        </w:rPr>
        <w:t xml:space="preserve">ударственной программе «Основные мероприятия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 приложение № 2.1 к государственной программе «Основные мероп</w:t>
      </w:r>
      <w:r>
        <w:rPr>
          <w:color w:val="000000" w:themeColor="text1"/>
          <w:sz w:val="28"/>
          <w:szCs w:val="28"/>
        </w:rPr>
        <w:t>риятия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 № 3 к настоящему постановлению;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 приложение № 3 к государственной программе «Сводные финансовые затраты и налоговые расходы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 </w:t>
      </w:r>
      <w:r>
        <w:rPr>
          <w:color w:val="000000" w:themeColor="text1"/>
          <w:sz w:val="28"/>
          <w:szCs w:val="28"/>
        </w:rPr>
        <w:t>№ 4 к настоящему постановлению;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8) приложение № 4 к государственной программе «Подпрограмма «Градостроительная подготовка территорий Новосибирской области» государственной программы Новосибирской области «Стимулирование развития жилищного строительства в Н</w:t>
      </w:r>
      <w:r>
        <w:rPr>
          <w:color w:val="000000" w:themeColor="text1"/>
          <w:sz w:val="28"/>
          <w:szCs w:val="28"/>
        </w:rPr>
        <w:t>овосибирской области</w:t>
      </w:r>
      <w:r>
        <w:rPr>
          <w:color w:val="000000" w:themeColor="text1"/>
        </w:rPr>
        <w:t xml:space="preserve">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9) приложение № 4.1 «Подпрограмма «Фонд пространственных данных Новосибирской области» государственной программы Новосибирской области «Стимулирование развития жилищного строительства в Новосибирской области</w:t>
      </w:r>
      <w:r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 приложение № 4.2 к государственной программе «Подпрограмма «Градостроительная подготовка территорий Новосибирской области и фонд пространственных данных Новосибирской области» государственной программы Новосибирской области «</w:t>
      </w:r>
      <w:r>
        <w:rPr>
          <w:color w:val="000000" w:themeColor="text1"/>
          <w:sz w:val="28"/>
          <w:szCs w:val="28"/>
        </w:rPr>
        <w:t xml:space="preserve">Стимулирование развития жилищного строительства в 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11) приложение № 5 к государственной программе Подпрограмма «Инженерное обустройство площадок комплексной застройки Новосибирской области» государственной пр</w:t>
      </w:r>
      <w:r>
        <w:rPr>
          <w:color w:val="000000" w:themeColor="text1"/>
          <w:sz w:val="28"/>
          <w:szCs w:val="28"/>
        </w:rPr>
        <w:t>ограммы Новосибирской области «Стимулирование развития жилищного строительства в Новосибирской области</w:t>
      </w:r>
      <w:r>
        <w:rPr>
          <w:color w:val="000000" w:themeColor="text1"/>
        </w:rPr>
        <w:t xml:space="preserve">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 приложение № 5.1 к государственной программе «Подпрограмма «Земельные ресурсы и инфраструктура» государственной программы </w:t>
      </w:r>
      <w:r>
        <w:rPr>
          <w:color w:val="000000" w:themeColor="text1"/>
          <w:sz w:val="28"/>
          <w:szCs w:val="28"/>
        </w:rPr>
        <w:t xml:space="preserve">Новосибирской области «Стимулирование развития жилищного строительства в 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13) приложение № 5.2 к государственной программе «Подпрограмма «Государственная поддержка при завершении строительства «проблемных» жи</w:t>
      </w:r>
      <w:r>
        <w:rPr>
          <w:color w:val="000000" w:themeColor="text1"/>
          <w:sz w:val="28"/>
          <w:szCs w:val="28"/>
        </w:rPr>
        <w:t xml:space="preserve">лых домов»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14) приложение № 6 к государственной программе «Подпрограмма «Государственная поддержка граждан п</w:t>
      </w:r>
      <w:r>
        <w:rPr>
          <w:color w:val="000000" w:themeColor="text1"/>
          <w:sz w:val="28"/>
          <w:szCs w:val="28"/>
        </w:rPr>
        <w:t xml:space="preserve">ри приобретении (строительстве) жилья и стимулирование развития ипотечного кредитования»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15) приложение № 7 </w:t>
      </w:r>
      <w:r>
        <w:rPr>
          <w:color w:val="000000" w:themeColor="text1"/>
          <w:sz w:val="28"/>
          <w:szCs w:val="28"/>
        </w:rPr>
        <w:t>к государственной программе «Подпрограмма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Новосибирской области «Стимулирование развит</w:t>
      </w:r>
      <w:r>
        <w:rPr>
          <w:color w:val="000000" w:themeColor="text1"/>
          <w:sz w:val="28"/>
          <w:szCs w:val="28"/>
        </w:rPr>
        <w:t xml:space="preserve">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16) приложение № 8 к государственной программе «Подпрограмма «Строительство (приобретение на первичном рынке) служебного жилья для отдельных категорий граждан, проживающих и рабо</w:t>
      </w:r>
      <w:r>
        <w:rPr>
          <w:color w:val="000000" w:themeColor="text1"/>
          <w:sz w:val="28"/>
          <w:szCs w:val="28"/>
        </w:rPr>
        <w:t xml:space="preserve">тающих на территории Новосибирской области»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17) приложение № 8.1 к государственной программе «Подпрограмма «</w:t>
      </w:r>
      <w:r>
        <w:rPr>
          <w:color w:val="000000" w:themeColor="text1"/>
          <w:sz w:val="28"/>
          <w:szCs w:val="28"/>
        </w:rPr>
        <w:t xml:space="preserve">Государственная поддержка муниципальных образований Новосибирской области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</w:t>
      </w:r>
      <w:r>
        <w:rPr>
          <w:rFonts w:eastAsia="Calibri"/>
          <w:color w:val="000000" w:themeColor="text1"/>
          <w:sz w:val="28"/>
          <w:szCs w:val="28"/>
        </w:rPr>
        <w:t>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18) приложение № 9 к государственной программе «Подпрограмма «Государственная поддержка отдельных категорий работников бюджетной сферы при ипотечном жилищном кредитовании» государственной программы Новосибирской области «Стимулирование</w:t>
      </w:r>
      <w:r>
        <w:rPr>
          <w:color w:val="000000" w:themeColor="text1"/>
          <w:sz w:val="28"/>
          <w:szCs w:val="28"/>
        </w:rPr>
        <w:t xml:space="preserve"> развития жилищного строительства в Новосибирской области</w:t>
      </w:r>
      <w:r>
        <w:rPr>
          <w:color w:val="000000" w:themeColor="text1"/>
        </w:rPr>
        <w:t xml:space="preserve">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19) приложение № 10 к государственной программе «Подпрограмма «Государственная поддержка отдельных категорий граждан, являющихся нанимателями по договорам коммерческо</w:t>
      </w:r>
      <w:r>
        <w:rPr>
          <w:color w:val="000000" w:themeColor="text1"/>
          <w:sz w:val="28"/>
          <w:szCs w:val="28"/>
        </w:rPr>
        <w:t>го найма жилых помещений» государственной программы Новосибирской области «Стимулирование развития жилищного строительства в Новосибирской области</w:t>
      </w:r>
      <w:r>
        <w:rPr>
          <w:color w:val="000000" w:themeColor="text1"/>
        </w:rPr>
        <w:t xml:space="preserve">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20) приложение № 10.1 к государственной программе «Подпрограмма «Развитие рынка на</w:t>
      </w:r>
      <w:r>
        <w:rPr>
          <w:color w:val="000000" w:themeColor="text1"/>
          <w:sz w:val="28"/>
          <w:szCs w:val="28"/>
        </w:rPr>
        <w:t xml:space="preserve">емного жилья» государственной программы Новосибирской области «Стимулирование развития жилищного строительства в Новосибирской области» </w:t>
      </w:r>
      <w:r>
        <w:rPr>
          <w:rFonts w:eastAsia="Calibri"/>
          <w:color w:val="000000" w:themeColor="text1"/>
          <w:sz w:val="28"/>
          <w:szCs w:val="28"/>
        </w:rPr>
        <w:t>признать утратившим силу;</w:t>
      </w:r>
    </w:p>
    <w:p w:rsidR="00735A8C" w:rsidRDefault="00E67CA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в приложении № 13 к государственной программе «Информация об объектах капитального строите</w:t>
      </w:r>
      <w:r>
        <w:rPr>
          <w:sz w:val="28"/>
          <w:szCs w:val="28"/>
        </w:rPr>
        <w:t>льства в рамках федерального проекта «Жилье» по реализации мероприятия по стимулированию программ развития жилищного строительства в Новосибирской области» после строки «2024 год» строки «1, 2, 3, всего» заменить строками следующего содержания:</w:t>
      </w:r>
    </w:p>
    <w:p w:rsidR="00735A8C" w:rsidRDefault="00E67CA7">
      <w:pPr>
        <w:tabs>
          <w:tab w:val="left" w:pos="1193"/>
        </w:tabs>
        <w:spacing w:before="0" w:after="0"/>
        <w:ind w:firstLine="709"/>
        <w:jc w:val="both"/>
        <w:rPr>
          <w:sz w:val="22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-136155</wp:posOffset>
                </wp:positionH>
                <wp:positionV relativeFrom="paragraph">
                  <wp:posOffset>17941</wp:posOffset>
                </wp:positionV>
                <wp:extent cx="225188" cy="423052"/>
                <wp:effectExtent l="0" t="0" r="3810" b="0"/>
                <wp:wrapNone/>
                <wp:docPr id="1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5187" cy="423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5A8C" w:rsidRDefault="00E67CA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77696;o:allowoverlap:true;o:allowincell:true;mso-position-horizontal-relative:text;margin-left:-10.72pt;mso-position-horizontal:absolute;mso-position-vertical-relative:text;margin-top:1.41pt;mso-position-vertical:absolute;width:17.73pt;height:33.31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«</w:t>
                      </w:r>
                      <w:r>
                        <w:rPr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411"/>
        <w:gridCol w:w="676"/>
        <w:gridCol w:w="1452"/>
        <w:gridCol w:w="567"/>
        <w:gridCol w:w="709"/>
        <w:gridCol w:w="709"/>
        <w:gridCol w:w="1134"/>
        <w:gridCol w:w="1134"/>
        <w:gridCol w:w="425"/>
        <w:gridCol w:w="851"/>
      </w:tblGrid>
      <w:tr w:rsidR="00735A8C">
        <w:trPr>
          <w:trHeight w:val="230"/>
          <w:jc w:val="center"/>
        </w:trPr>
        <w:tc>
          <w:tcPr>
            <w:tcW w:w="9493" w:type="dxa"/>
            <w:gridSpan w:val="11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5A8C" w:rsidRDefault="00E67CA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</w:t>
            </w:r>
            <w:r>
              <w:rPr>
                <w:rFonts w:ascii="Times New Roman" w:hAnsi="Times New Roman" w:cs="Times New Roman"/>
                <w:b/>
                <w:bCs/>
              </w:rPr>
              <w:t>риятие (результат):</w:t>
            </w:r>
            <w:r>
              <w:rPr>
                <w:rFonts w:ascii="Times New Roman" w:hAnsi="Times New Roman" w:cs="Times New Roman"/>
              </w:rPr>
              <w:t xml:space="preserve"> Обеспечен ввод жилья в рамках реализации мероприятий по стимулированию программ развития жилищного строительства субъектов Российской Федерации</w:t>
            </w:r>
          </w:p>
          <w:p w:rsidR="00735A8C" w:rsidRDefault="00E67CA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Направление расходов: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Стимулирование программ развития жилищного строительства (по установле</w:t>
            </w:r>
            <w:r>
              <w:rPr>
                <w:rFonts w:ascii="Times New Roman" w:hAnsi="Times New Roman" w:cs="Times New Roman"/>
                <w:color w:val="000000"/>
              </w:rPr>
              <w:t xml:space="preserve">нному уровню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35A8C">
        <w:trPr>
          <w:jc w:val="center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</w:tcPr>
          <w:p w:rsidR="00735A8C" w:rsidRDefault="00E67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микрорайон «Родники», «Клюквенный» г. Новосибирска и Новосибирского района</w:t>
            </w:r>
          </w:p>
        </w:tc>
        <w:tc>
          <w:tcPr>
            <w:tcW w:w="676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250,1</w:t>
            </w:r>
          </w:p>
        </w:tc>
        <w:tc>
          <w:tcPr>
            <w:tcW w:w="1452" w:type="dxa"/>
            <w:tcMar>
              <w:left w:w="57" w:type="dxa"/>
              <w:right w:w="57" w:type="dxa"/>
            </w:tcMar>
          </w:tcPr>
          <w:p w:rsidR="00735A8C" w:rsidRDefault="00E67CA7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Ливневая канализация в </w:t>
            </w:r>
            <w:proofErr w:type="spellStart"/>
            <w:r>
              <w:rPr>
                <w:rFonts w:ascii="Times New Roman" w:hAnsi="Times New Roman" w:cs="Times New Roman"/>
              </w:rPr>
              <w:t>Заельцовском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Калининском районах г. Новосибирска, I этап строительства, от ул. Тюленина до ул. Фадеева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1 996,0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262 475,8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251 976,7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10 499,1</w:t>
            </w:r>
          </w:p>
        </w:tc>
      </w:tr>
      <w:tr w:rsidR="00735A8C">
        <w:trPr>
          <w:jc w:val="center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735A8C" w:rsidRDefault="00735A8C">
            <w:pPr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76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250,1</w:t>
            </w:r>
          </w:p>
        </w:tc>
        <w:tc>
          <w:tcPr>
            <w:tcW w:w="1452" w:type="dxa"/>
            <w:tcMar>
              <w:left w:w="57" w:type="dxa"/>
              <w:right w:w="57" w:type="dxa"/>
            </w:tcMar>
          </w:tcPr>
          <w:p w:rsidR="00735A8C" w:rsidRDefault="00735A8C">
            <w:pPr>
              <w:spacing w:before="0" w:after="0"/>
              <w:rPr>
                <w:sz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35A8C" w:rsidRDefault="00735A8C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A8C" w:rsidRDefault="00735A8C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35A8C" w:rsidRDefault="00735A8C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262 475,8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251 976,7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:rsidR="00735A8C" w:rsidRDefault="00735A8C">
            <w:p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35A8C" w:rsidRDefault="00E67CA7">
            <w:pPr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10 499,1</w:t>
            </w:r>
          </w:p>
        </w:tc>
      </w:tr>
    </w:tbl>
    <w:p w:rsidR="00735A8C" w:rsidRDefault="00E67CA7">
      <w:pPr>
        <w:spacing w:before="0" w:after="0"/>
        <w:rPr>
          <w:sz w:val="22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6223701</wp:posOffset>
                </wp:positionH>
                <wp:positionV relativeFrom="paragraph">
                  <wp:posOffset>-311700</wp:posOffset>
                </wp:positionV>
                <wp:extent cx="384488" cy="388611"/>
                <wp:effectExtent l="0" t="0" r="0" b="0"/>
                <wp:wrapNone/>
                <wp:docPr id="2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4488" cy="38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5A8C" w:rsidRDefault="00E67CA7">
                            <w:pPr>
                              <w:ind w:left="-1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78720;o:allowoverlap:true;o:allowincell:true;mso-position-horizontal-relative:text;margin-left:490.06pt;mso-position-horizontal:absolute;mso-position-vertical-relative:text;margin-top:-24.54pt;mso-position-vertical:absolute;width:30.27pt;height:30.6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ind w:left="-14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».</w:t>
                      </w:r>
                      <w:r>
                        <w:rPr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735A8C" w:rsidRDefault="00E67CA7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en-US"/>
        </w:rPr>
        <w:t>Подпункты 4, 6, 7 пункта 1 настоящего постановления действуют до 01.06.2024.</w:t>
      </w:r>
    </w:p>
    <w:p w:rsidR="00735A8C" w:rsidRDefault="00735A8C">
      <w:pPr>
        <w:spacing w:before="0" w:after="0"/>
        <w:jc w:val="both"/>
        <w:rPr>
          <w:sz w:val="28"/>
          <w:szCs w:val="28"/>
          <w:lang w:eastAsia="en-US"/>
        </w:rPr>
      </w:pPr>
    </w:p>
    <w:p w:rsidR="00735A8C" w:rsidRDefault="00735A8C">
      <w:pPr>
        <w:spacing w:before="0" w:after="0"/>
        <w:jc w:val="both"/>
        <w:rPr>
          <w:sz w:val="28"/>
          <w:szCs w:val="28"/>
          <w:lang w:eastAsia="en-US"/>
        </w:rPr>
      </w:pPr>
    </w:p>
    <w:p w:rsidR="00735A8C" w:rsidRDefault="00E67CA7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:rsidR="00735A8C" w:rsidRDefault="00735A8C">
      <w:pPr>
        <w:spacing w:before="0" w:after="0"/>
        <w:jc w:val="both"/>
        <w:rPr>
          <w:sz w:val="28"/>
          <w:szCs w:val="28"/>
          <w:lang w:eastAsia="en-US"/>
        </w:rPr>
      </w:pPr>
    </w:p>
    <w:p w:rsidR="00735A8C" w:rsidRDefault="00735A8C">
      <w:pPr>
        <w:rPr>
          <w:sz w:val="28"/>
          <w:szCs w:val="28"/>
          <w:lang w:eastAsia="en-US"/>
        </w:rPr>
      </w:pPr>
    </w:p>
    <w:p w:rsidR="00735A8C" w:rsidRDefault="00735A8C">
      <w:pPr>
        <w:spacing w:before="0" w:after="0"/>
        <w:rPr>
          <w:sz w:val="20"/>
          <w:lang w:eastAsia="en-US"/>
        </w:rPr>
      </w:pPr>
    </w:p>
    <w:p w:rsidR="00735A8C" w:rsidRDefault="00E67CA7">
      <w:pPr>
        <w:spacing w:before="0" w:after="0"/>
        <w:rPr>
          <w:sz w:val="20"/>
        </w:rPr>
      </w:pPr>
      <w:r>
        <w:rPr>
          <w:sz w:val="20"/>
        </w:rPr>
        <w:t xml:space="preserve">А.В. Колмаков </w:t>
      </w:r>
    </w:p>
    <w:p w:rsidR="00735A8C" w:rsidRDefault="00E67CA7">
      <w:pPr>
        <w:spacing w:before="0" w:after="0"/>
        <w:rPr>
          <w:sz w:val="16"/>
          <w:szCs w:val="16"/>
        </w:rPr>
      </w:pPr>
      <w:r>
        <w:rPr>
          <w:sz w:val="20"/>
        </w:rPr>
        <w:t>228-64-66</w:t>
      </w:r>
    </w:p>
    <w:p w:rsidR="00735A8C" w:rsidRDefault="00735A8C">
      <w:pPr>
        <w:rPr>
          <w:sz w:val="16"/>
          <w:szCs w:val="16"/>
        </w:rPr>
      </w:pPr>
      <w:bookmarkStart w:id="0" w:name="_GoBack"/>
      <w:bookmarkEnd w:id="0"/>
    </w:p>
    <w:sectPr w:rsidR="00735A8C">
      <w:headerReference w:type="default" r:id="rId8"/>
      <w:footerReference w:type="first" r:id="rId9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A7" w:rsidRDefault="00E67CA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67CA7" w:rsidRDefault="00E67CA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A8C" w:rsidRDefault="00735A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A7" w:rsidRDefault="00E67CA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67CA7" w:rsidRDefault="00E67CA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/>
    <w:sdtContent>
      <w:p w:rsidR="00735A8C" w:rsidRDefault="00E67CA7">
        <w:pPr>
          <w:pStyle w:val="af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B67EDE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E0F68"/>
    <w:multiLevelType w:val="hybridMultilevel"/>
    <w:tmpl w:val="896C89D4"/>
    <w:lvl w:ilvl="0" w:tplc="042C67C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2648E3F8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5F72EBC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80274D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5FC8BD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D9A5E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B2C987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35466B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7869E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E8A4BDF"/>
    <w:multiLevelType w:val="hybridMultilevel"/>
    <w:tmpl w:val="00F03168"/>
    <w:lvl w:ilvl="0" w:tplc="CF3A6A04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88441D4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95DED29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A00F42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3C699D2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87A4206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4EA99E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703876C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23A94F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C"/>
    <w:rsid w:val="00735A8C"/>
    <w:rsid w:val="00B67EDE"/>
    <w:rsid w:val="00E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07DFD-2828-4266-82CB-1462D01A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c">
    <w:name w:val="Balloon Text"/>
    <w:basedOn w:val="a"/>
    <w:link w:val="ad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lang w:val="ru-RU"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basedOn w:val="a0"/>
    <w:link w:val="afe"/>
    <w:uiPriority w:val="99"/>
    <w:semiHidden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b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c">
    <w:name w:val="Цитаты"/>
    <w:basedOn w:val="a"/>
    <w:uiPriority w:val="99"/>
    <w:pPr>
      <w:ind w:left="360" w:right="360"/>
    </w:pPr>
    <w:rPr>
      <w:szCs w:val="24"/>
    </w:rPr>
  </w:style>
  <w:style w:type="character" w:styleId="af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e">
    <w:name w:val="Strong"/>
    <w:basedOn w:val="a0"/>
    <w:uiPriority w:val="99"/>
    <w:qFormat/>
    <w:rPr>
      <w:rFonts w:cs="Times New Roman"/>
      <w:b/>
    </w:rPr>
  </w:style>
  <w:style w:type="paragraph" w:styleId="afff">
    <w:name w:val="Subtitle"/>
    <w:basedOn w:val="a"/>
    <w:link w:val="afff0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0">
    <w:name w:val="Подзаголовок Знак"/>
    <w:basedOn w:val="a0"/>
    <w:link w:val="afff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</w:style>
  <w:style w:type="paragraph" w:customStyle="1" w:styleId="afff4">
    <w:name w:val="Прикольный"/>
    <w:basedOn w:val="afff3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Placeholder Text"/>
    <w:basedOn w:val="a0"/>
    <w:uiPriority w:val="99"/>
    <w:semiHidden/>
    <w:rPr>
      <w:color w:val="808080"/>
    </w:rPr>
  </w:style>
  <w:style w:type="table" w:customStyle="1" w:styleId="1b">
    <w:name w:val="Сетка таблицы1"/>
    <w:basedOn w:val="a1"/>
    <w:next w:val="aff7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4CD359-154C-4529-9034-EC5EFA60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6008</Characters>
  <Application>Microsoft Office Word</Application>
  <DocSecurity>0</DocSecurity>
  <Lines>50</Lines>
  <Paragraphs>14</Paragraphs>
  <ScaleCrop>false</ScaleCrop>
  <Company>ANO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Ибрагимов Голибджон Гуфронович ADM</cp:lastModifiedBy>
  <cp:revision>19</cp:revision>
  <dcterms:created xsi:type="dcterms:W3CDTF">2021-08-20T09:14:00Z</dcterms:created>
  <dcterms:modified xsi:type="dcterms:W3CDTF">2024-02-01T04:57:00Z</dcterms:modified>
</cp:coreProperties>
</file>