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535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 Правительства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535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«СТРАТЕГИЧЕСКИЕ ПРИОРИТЕТЫ ГОСУДАРСТВЕННОЙ ПРОГРАММЫ НОВОСИБИРСКОЙ ОБЛАСТИ «СТИМУЛИРОВАНИЕ РАЗВИТИЯ ЖИЛИЩНОГО СТРОИТЕЛЬСТВА В НОВОСИБИРСКОЙ ОБЛАСТИ»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I. Оценка текущего состояния жилищного строительства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Общий совокупный объем ввода жилья на территории Новосибирской области в период с 2015 по 2023 год составил 19,240 млн. кв. метров, максимальный объем ввода зафиксирован в 2023 году.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2023 года впервые за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сю историю статистических наблюдений зафиксирован абсолютный рекорд введенного жилья - объем ввода жилья составил 3,016 млн. кв. метров, из которых многоквартирные дома - 2,117 млн. кв. метров, индивидуальное жилищное строительство - 0,899 млн. кв. метров.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Положительное влияние на развитие жилищного строительства оказали введение льготных ипотечных программ, реализация механизмов «инфраструктурного меню», а также сокращение инвестиционно-строительного цикла.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период массового жилищного строительства установлены (обнаружены) факты недобросовестного исполнения застройщ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иками своих обязательств по строительству многоквартирных домов и передаче объектов долевого строительства в них гражданам - участникам долевого строительства, денежные средства которых были привлечены застройщиками для строительства многоквартирных домов.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Так, на конец 2020 года в едином реестре проблемных объектов состояло порядка 110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проблемных объектов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20 марта 2020 года между Правительством Новосибирской области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публично-правовой компанией «Фонд защиты прав граждан - участников долевого строительства» (далее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ППК «Фонд»)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созданной для повышения гарантий защиты прав и законных интересов граждан - участников строительства, в том числе участников долевого строительства,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заключено соглашение, предметом которого является 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ППК «Фонд»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из областного бюджета Новосибирской области субсидии для финансирования мероприятий по завершению строительства объектов незавершенного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строительства и выплате возмещения денежных средств гражданам – участникам долевого строительства.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Правительством Новосибирской области совместно с ППК «Фонд» в период с 2020 по настоящее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время приняты решения о восстановлении прав граждан 35 проблемных объектов, из которых граждане по 27 объектам получили денежные компенсации, по 8 объектам принято решении о завершении строительства. На сегодняшний день 4 жилых дома введены в эксплуатацию.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период с 2015 по 2023 года введено в эксплуатацию 142 проблемных объекта.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целях завершения строительства жилых домов на территории Новосибирской области существуют меры поддержки: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оказание государственной поддержки участникам долевого строительства в соответствии с постано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влением администрации Новосибирской области от 09.03.2010 № 80-па «Об оказании государственной поддержки гражданам, пострадавшим от действий недобросовестных застройщиков Новосибирской области» и постановлением Правительства Новосибирской области от 31.12.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2019 № 520-п «О субсидиях гражданам, пострадавшим от действий недобросовестных застройщиков в Новосибирской области, на компенсацию части расходов по оплате стоимости жилого помещения, подлежащего передаче инициатором масштабного инвестиционного проекта».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С начала реализации указан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ных постановлений в реестр на получение субсидий включено 1 254человека, сумма субсидий – 243 922,3 тыс. рублей, в том числе в 2023 году включено 20 человек (по постановлению № 80-па — 19 человек, № 520-п — 1 человек), сумма субсидии – 3 653,4 тыс. рублей;</w:t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субсидий на оплату договоров технологического подключения «проблемных объектов» к инженерно-технологическим сетям, на благоустройство придомовых территорий и установку лифтового оборудования в соответствии с подпрограммой «Государственная поддержка при зав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ершении строительства «проблемных» жилых домов» государственной программы Новосибирской области «Стимулирование развития жилищного строительства в Новосибирской области», утвержденной постановлением Правительства Новосибирской области от 20.02.2015 № 68-п.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реализации государственной программы в целях ввода в эксплуатацию за пе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риод с 2015 по 2023 год предоставлены субсидии на оплату договоров технологического присоединения, установку лифтового оборудования и выполнение работ по благоустройству придомовой территории 33 проблемных жилых домов, из которых 28 введено в эксплуатацию;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предоставление земельных участков инициаторам масштабных инвестиционных проектов в соответствии с Законом № 583-ОЗ.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начала действия Закона № 583-ОЗ по 49 масштабным инвестиционным проектам изданы распоряжения Губернатора Новосибирской обла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сти о предоставлении мэрией города Новосибирска инициаторам масштабных инвестиционных проектов земельных участков в пределах города Новосибирска общей площадью 1 511 332 кв. м, из них семь распоряжений Губернатора Новосибирской области изданы в 2023 году. 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реализации масштабных инвестиционных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проектов на завершение строительства проблемных объектов направлено не менее 3 650,78 млн рублей, что позволило восстановить права 3 261 семьи в 18 проблемных объектах, начать процесс восстановления нарушенных прав 1 765 семей в десяти проблемных объектах;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предоставление жилых помещений гражданам в соответствии с постановлением мэрии города Новосибирска от 26.02.2018 № 709 «О Порядке передачи жилых пом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города Новосибирска».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реализации постановления № 709 инициаторами масштабных инвестиционных проектов будет передано гражданам в сроки, установленные договорами долевого участия, около 48,97 тыс. кв. м жилья, что позволит существенно сократить реестр граждан.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Комиссией проводится работа по восстановлению интересов граждан. В настоящее время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79 граждан дали согласие на получени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жилых помещений, из которых 177 граждан получили жилые помещения или переуступили свое право на жилое помещение, со 167 гражданами заключены договоры долевого участия, оставшиеся граждане ожидают заключения договоров долевого участия с инициаторами МИП.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исключения возмо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жности появления новых обманутых граждан - участников долевого строительства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эскроу.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состоянию на 29.01.2024 в сфере контроля минис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терства строительства Новосибирской области находится 637 многоквартирных жилых домов, из них 598 домов, строительство которых осуществляется с привлечением денежных средств участников долевого строительства путем размещения таких средств на счетах эскроу.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начало 2024 года в единый реестр проблемных объектов включено 12 объектов недвижимости, из которых 10 жилых домов. Восстановление прав граждан планируется осуществить до конца 2024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Одной из наиболее острых социальных проблем остается проблема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Одной из наиболее острых социальных проблем остается проблема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Так, в рамках данной государственной программы оказывается поддержка жителям области в решении жилищных вопросов за счет средств федерального бюджета и областного бюджетов, таких категорий как молодые семьи, многодетные семьи, работники бюджетной сферы.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Молодым семьям предоставляются социальные выплаты на приобретение жилья в размере до 35 % от расчетной стоимости жилого помещения.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За период с 2015-2023 годы обеспечены жильем 905 молодых семей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жилыми помещениями многодетных малообеспеченных семей, имеющих 5 и более несовершеннолетних детей, жилыми помещениями по дого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ворам социального найма осуществляется за счет строительства (приобретения) жилых помещений, путем предоставления субсидий муниципальным образованиям Новосибирской области и предоставления жилых помещений многодетным семьям по договорам социального найма.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период с 2015-2023 годы обеспечены жильем 108 многодетных семей.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С 2019 года реал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изуется мероприятие по обеспечению служебным жильем отдельных категорий граждан, проживающих и работающих на территории Новосибирской области, осуществляется путем строительства жилых домов, а также приобретения жилых помещений на первичном рынке в муницип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альную собственность. Служебное жилье предоставляется работникам муниципальных учреждений, предприятий и организаций, государственных учреждений Новосибирской области, гражданам, замещающим должности муниципальной службы, участковым уполномоченным полиции.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За период с 2019-2023 годы построено и приобретено на первичном рынке 342 жилых помещения.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Так же, 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  <w:t xml:space="preserve">местным бюджетам муниципальных районов и городских округов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 областного бюджета оплачивались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расходы, связанные со строительством служебного жилья и жилья для детей - сирот, в том числе разработка проектной документации, инженерно-геологические, инженерно-экологические изыскания, авторский надзор, государственная экспертиза проектной документации;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технологическое присоединение к инженерным сетям; строительный контроль; затра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 на ввод объекта в эксплуатацию (технический план бюро технической инвентаризации, замеры санитарно-эпидемиологической службы) и благоустройство. В рамках данных мероприятий построены 411 квартир, предоставленных в качестве служебных и для детей - сирот.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Отдельным категориям работников бюджетной сферы предоставляются субсидии на оплату первоначального взноса по ипотечному жилищному кредиту (займу) в размере до 150 000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За период с 2015-2023 годы субсидии предоставлены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 гражданам.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Массовое жилищное строительство и развитие территорий невозможны без осуществления грамотного, экономически и техничес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 обоснованного градостроительного планирования. Необходимо обеспечение территорий документацией для осуществления градостроительной деятельности, приведенной в соответствие требованиям законодательства о градостроительной деятельности. Это является необх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одимым условием для управления территорией, в том числе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перспективе в период с 2024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до 2030 года на территории Новосибирской области необходимо обеспечить совокупный ввод в эксплуатацию объектов жилищного строительства в объеме не менее 16,756 млн. кв. метров, и выйти на уровень годового объема ввода жилья до 2,6 млн. кв. м к 2030 году.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обеспечения необходимого ввода жилья предусматриваются дополнительные меры, направленные на инфраструктурное обеспечение застраиваемых земельных участков.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В рамках деятельности АО «Агентство развития жилищного строительства Новосибирской области» (далее - АО «АРЖС») в целях стимулирования жилищного строительства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реализуются проекты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 комплексного жилищного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, в том числе с использованием мер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 поддержки, предусмотренных федеральным проектом «Инфраструктурное меню».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Основным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м АО «АРЖС» является обеспечение сбалансированного и устойчивого развития муниципальных образований путем повышения качества городской среды и улучшения внешнего облика, архитектурно-стилистических и иных характеристик объектов капитального строительства.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основании документов территориального планирова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 будут определены оптимальные варианты видов развития жилищного строительства по муниципальным образованиям области, исходя из перспектив социально-экономического и демографического развития поселений, с учетом потребностей и предпочтений их населения.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C 01.01.2016 министерство строительства Новосибирской области является уполномоченным органом по подгот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овке и утверждению генеральных планов, внесению в них изменений, а также по утверждению правил землепользования и застройки (далее – ПЗЗ) поселений в отношении 55 муниципальных образований, входящих в состав Новосибирской агломерации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обеспечения градостроительного развития, а также приведения в соответствие с требованиями законодательства за период с 2015 – 2023 годов осуществлена подготовка 89 проектов генеральных планов (в том числе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проектов изменений в генеральные планы) и 366 ПЗЗ (в том числе проектов изменений в ПЗЗ).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В рамках реализации данной государственной программы осуществляется предоставление субсидий муниципальным образованиям Новосибирской области на градостроительную подготовку территорий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Так, в 2023 году в рамках соглашений о предоставлении из областного бюджета Новосибирской области бюджетам муниципальных районов Новосибирской области субсидий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финансирование расходов на подготовку градостроительной документации и (или) внесение изменений в нее осуществлена подготовка 31 проекта генеральных планов (в том числе проекта изменений в генеральные планы) и 23 ПЗЗ (в том числе проектов изменений в ПЗЗ).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Постановлением Правительства Новосибирской области от 23.01.2018 № 8-п «О создании Фонда пространственных данных Новосибирской обл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асти» создан региональный фонд пространственных данных, фондодержателем которого является ГБУ НСО «Геофонд НСО». В Региональный фонд включаются пространственные данные и материалы, полученные в результате выполнения геодезических и картографических работ.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Объем предоставленных заявителям данных составляет 15 249 шт., в том числе: в 2018 году – 38 шт., в 2019 году – 994 шт., в 2020 году - 2661 шт., в 2021 году – 3421 шт., в 2022 году - 3670 шт., в 2023 году - 4465 шт.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Вместе с тем сохранится высокая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ависимость жилищной сферы от динамики макроэкономических показателей, которые будут оказывать существенное влияние на доходы населения, а также на процентную ставку и иные параметры ипотечного жилищного кредитования, определяющие уровень доступности жилья.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I. Описание приоритетов и целей государственной политики в сфере реализации государственной 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Приоритеты государственной политики Новосибирской области в сфере жилищного строительства сформированы с учетом национальных целей развития на пери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 до 2030 года, определенных Указом Президента Российской Федерации от 21.07.2020 № 474 «О национальных целях развития Российской Федерации на период до 2030 года», Единым планом по достижению национальных целей и развития Российской Федерации на период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2024 года и на плановый период до 2030 года, утвержденным распоряжением Правительства Российской Федерации от 01.10.2021 № 2765-р, государственной программой Российской Федерации «Обеспечение доступными комфортным жильем и коммунальными услугами граждан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Федерации», утвержденной постановлением Правительства Российской Федерации от 30.12.2017 № 1710.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Основными приоритетами государственной политики в жилищной сфере являются обеспечение доступности жилья для всех категорий граждан, создание условий для роста предложений на рынке жилья, соответствующего потребностям различных групп населения, в том числе: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формирование эффективных рынков земельных участков, обеспеченных градостроительной документацией;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обеспечение участков массового жилищного строительства инженерной, коммунальной и транспортной инфраструктурой, вовлечение в жилищное строительство неиспользуемых или используемых неэффективно государственных и муниципальных земельных участков;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содействие комплексному развитию территорий;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создание необходимых условий для развития транспортной, социальной, инженерной инфраструктур, благоустройства территорий поселений, муниципальных округов, городских округов, повышения территориальной доступности таких инфраструктур;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повышение эффективности использования территорий поселений, муниципальных округов, городских округов;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- развитие рынка индивидуального жилищного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В результате реализации указанных приоритетных направлений к 2030 году будет достигнут необходимый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объем ввода жилья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Реализация государственной программы направлена на достижение национальных целей развития Российской Федерации на период до 2030 года - «Комфортная и безопасная среда для жизни», на уровне субъекта – Увеличение годового объема ввода жилья до 2,6 млн.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кв. м к 2030 году. Достижение национальных целей реализуется путем достижения показателей «Объем жилищного строительства», а также «Ввод жилья в рамках мероприятия по стимулированию программ развития жилищного строительства субъектов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eastAsia="ru-RU"/>
        </w:rPr>
        <w:t xml:space="preserve">Для достижения национальных целей в рамках государственной программы реализуется региональный проект «Жилье» в рамках национального проекта «Жилье и городская среда».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III. Сведения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Достижение национальных целей осуществляется путем решения следующих задач в рамках реализации государственной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создание условий для осуществления градостроительной деятельности на территории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содействие эффективному использованию земельных участков под жилищное строительство;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улучшение жилищных условий различных категорий граждан.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IV. Задачи государственного управления (задачи (направления) государственной программы), способы их эффективного решения в соответствующей отрасли экономики и сфере государственного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Задачами в рамках структурных элементов государственной программы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обеспечение градостроительного развития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по обеспечению ввода жилья;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обеспечение инженерной и (или) коммунальной инфраструктурой площадок комплексной застройки, в том числе в целях строительства жилья;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содействие инженерному обеспечению комплексного освоения земельных участков в муниципальных образованиях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участие в реализации инфраструктурных проектов в рамках комплексного жилищного 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обеспечение инженерной инфраструктурой «проблемных» объектов незавершенного 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оказание государственной поддержки гражданам, пострадавшим от действий недобросовестных застройщиков;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оказание государственной поддержки отдельным категориям граждан при строительстве и приобретении жилья;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стимулирование строительства специализированного жилищного фонда для отдельных категорий граждан;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предоставление молодым семьям – участникам программы социальных выплат на приобретение (строительство) жилья.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_________»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Caption Char"/>
    <w:uiPriority w:val="99"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653"/>
    <w:next w:val="653"/>
    <w:link w:val="693"/>
    <w:uiPriority w:val="10"/>
    <w:qFormat/>
    <w:pPr>
      <w:contextualSpacing/>
      <w:spacing w:before="300"/>
    </w:pPr>
    <w:rPr>
      <w:sz w:val="48"/>
      <w:szCs w:val="48"/>
    </w:rPr>
  </w:style>
  <w:style w:type="character" w:styleId="693" w:customStyle="1">
    <w:name w:val="Заголовок Знак"/>
    <w:link w:val="692"/>
    <w:uiPriority w:val="10"/>
    <w:rPr>
      <w:sz w:val="48"/>
      <w:szCs w:val="48"/>
    </w:rPr>
  </w:style>
  <w:style w:type="paragraph" w:styleId="694">
    <w:name w:val="Subtitle"/>
    <w:basedOn w:val="653"/>
    <w:next w:val="653"/>
    <w:link w:val="695"/>
    <w:uiPriority w:val="11"/>
    <w:qFormat/>
    <w:pPr>
      <w:spacing w:before="200"/>
    </w:pPr>
    <w:rPr>
      <w:sz w:val="24"/>
      <w:szCs w:val="24"/>
    </w:rPr>
  </w:style>
  <w:style w:type="character" w:styleId="695" w:customStyle="1">
    <w:name w:val="Подзаголовок Знак"/>
    <w:link w:val="694"/>
    <w:uiPriority w:val="11"/>
    <w:rPr>
      <w:sz w:val="24"/>
      <w:szCs w:val="24"/>
    </w:rPr>
  </w:style>
  <w:style w:type="paragraph" w:styleId="696">
    <w:name w:val="Quote"/>
    <w:basedOn w:val="653"/>
    <w:next w:val="653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3"/>
    <w:next w:val="653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link w:val="700"/>
    <w:uiPriority w:val="99"/>
  </w:style>
  <w:style w:type="paragraph" w:styleId="702">
    <w:name w:val="Footer"/>
    <w:basedOn w:val="6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uiPriority w:val="99"/>
  </w:style>
  <w:style w:type="paragraph" w:styleId="704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6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653"/>
    <w:next w:val="653"/>
    <w:uiPriority w:val="39"/>
    <w:unhideWhenUsed/>
    <w:pPr>
      <w:spacing w:after="57"/>
    </w:pPr>
  </w:style>
  <w:style w:type="paragraph" w:styleId="840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1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2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3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4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5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6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7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53"/>
    <w:next w:val="653"/>
    <w:uiPriority w:val="99"/>
    <w:unhideWhenUsed/>
    <w:pPr>
      <w:spacing w:after="0"/>
    </w:pPr>
  </w:style>
  <w:style w:type="paragraph" w:styleId="850">
    <w:name w:val="No Spacing"/>
    <w:basedOn w:val="653"/>
    <w:uiPriority w:val="1"/>
    <w:qFormat/>
    <w:pPr>
      <w:spacing w:after="0" w:line="240" w:lineRule="auto"/>
    </w:pPr>
  </w:style>
  <w:style w:type="paragraph" w:styleId="851">
    <w:name w:val="List Paragraph"/>
    <w:basedOn w:val="653"/>
    <w:uiPriority w:val="34"/>
    <w:qFormat/>
    <w:pPr>
      <w:contextualSpacing/>
      <w:ind w:left="720"/>
    </w:pPr>
  </w:style>
  <w:style w:type="paragraph" w:styleId="852">
    <w:name w:val="Plain Text"/>
    <w:basedOn w:val="653"/>
    <w:link w:val="853"/>
    <w:uiPriority w:val="99"/>
    <w:unhideWhenUsed/>
    <w:pPr>
      <w:spacing w:after="0" w:line="240" w:lineRule="auto"/>
    </w:pPr>
    <w:rPr>
      <w:rFonts w:ascii="Calibri" w:hAnsi="Calibri"/>
      <w:szCs w:val="21"/>
    </w:rPr>
  </w:style>
  <w:style w:type="character" w:styleId="853" w:customStyle="1">
    <w:name w:val="Текст Знак"/>
    <w:basedOn w:val="663"/>
    <w:link w:val="852"/>
    <w:uiPriority w:val="99"/>
    <w:rPr>
      <w:rFonts w:ascii="Calibri" w:hAnsi="Calibri"/>
      <w:szCs w:val="21"/>
    </w:rPr>
  </w:style>
  <w:style w:type="paragraph" w:styleId="854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created xsi:type="dcterms:W3CDTF">2024-01-30T04:05:00Z</dcterms:created>
  <dcterms:modified xsi:type="dcterms:W3CDTF">2024-02-01T04:36:46Z</dcterms:modified>
</cp:coreProperties>
</file>