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2"/>
        <w:ind w:firstLine="709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69"/>
        <w:gridCol w:w="662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69" w:type="dxa"/>
            <w:vAlign w:val="top"/>
            <w:textDirection w:val="lrTb"/>
            <w:noWrap w:val="false"/>
          </w:tcPr>
          <w:p>
            <w:pPr>
              <w:pStyle w:val="73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br w:type="column"/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26" w:type="dxa"/>
            <w:vAlign w:val="top"/>
            <w:textDirection w:val="lrTb"/>
            <w:noWrap w:val="false"/>
          </w:tcPr>
          <w:p>
            <w:pPr>
              <w:pStyle w:val="732"/>
              <w:ind w:firstLine="201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732"/>
              <w:ind w:left="-2508" w:firstLine="201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к приказу министерства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здравоохранения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732"/>
              <w:ind w:firstLine="201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732"/>
              <w:ind w:firstLine="2012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от «___» __________ №_______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732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32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32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32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Положение </w:t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732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 </w:t>
      </w:r>
      <w:r>
        <w:rPr>
          <w:rFonts w:ascii="Times New Roman" w:hAnsi="Times New Roman"/>
          <w:b/>
          <w:sz w:val="27"/>
          <w:szCs w:val="27"/>
        </w:rPr>
        <w:t xml:space="preserve">комиссии </w:t>
      </w:r>
      <w:r>
        <w:rPr>
          <w:rFonts w:ascii="Times New Roman" w:hAnsi="Times New Roman"/>
          <w:b/>
          <w:sz w:val="27"/>
          <w:szCs w:val="27"/>
        </w:rPr>
        <w:t xml:space="preserve">для рассмотрения и оценки конкурсных заявок участников конкурса на предоставление субсидий из областного бюджета Новосибирской </w:t>
      </w:r>
      <w:r>
        <w:rPr>
          <w:rFonts w:ascii="Times New Roman" w:hAnsi="Times New Roman"/>
          <w:b/>
          <w:sz w:val="27"/>
          <w:szCs w:val="27"/>
        </w:rPr>
        <w:t xml:space="preserve">области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«Развитие здравоохранения Новосибирской области»</w:t>
      </w:r>
      <w:r>
        <w:rPr>
          <w:rFonts w:ascii="Times New Roman" w:hAnsi="Times New Roman"/>
          <w:b/>
          <w:sz w:val="27"/>
          <w:szCs w:val="27"/>
        </w:rPr>
        <w:t xml:space="preserve"> в </w:t>
      </w:r>
      <w:r>
        <w:rPr>
          <w:rFonts w:ascii="Times New Roman" w:hAnsi="Times New Roman"/>
          <w:b/>
          <w:sz w:val="27"/>
          <w:szCs w:val="27"/>
        </w:rPr>
        <w:t xml:space="preserve">2024 </w:t>
      </w:r>
      <w:r>
        <w:rPr>
          <w:rFonts w:ascii="Times New Roman" w:hAnsi="Times New Roman"/>
          <w:b/>
          <w:sz w:val="27"/>
          <w:szCs w:val="27"/>
        </w:rPr>
        <w:t xml:space="preserve">году</w:t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732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732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1. Положение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о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комиссии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для рассмотрения и оценки конкурсных заявок участников конкурса на предоставление субсидий из областного бюджета Новосибирской област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«Развитие здравоохранения Новосибирской области» в 202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4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году (далее – Положение)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определяет порядок деятельности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комиссии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для рассмотрения и оценки конкурсных заявок участников конкурса на предоставление субсидий из областного бюджета Новосибирской области некоммерческ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«Развитие здравоохранения Новосибирской области» (далее - Комиссия).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2. Комиссия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руководствуется в своей деятельности Конституцией Российской Федерацией, Бюджетным кодексом Российской Федерации, Гражданским кодексом Российской Федерации, иными нормативными правовыми актами Российской Федерации и Новосибирской области,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постановлением Правительства Новосибирской области от 03.09.2018 № 372-п «О Порядке определения объема и предоставления субсидий из областного бюджета Новосибирской области н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В и С в рамках государственной программы «Развитие здравоохранения Новосибирской области» (далее –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Порядок),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а также Положением.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3. Комиссия осуществляет следующие функции: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1) осуществляет проверку представленных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некоммерческими организациями (далее – организации) конкурсных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заявок и документов на предмет достоверности и соответствия требованиям, предусмотренным пунктами 16, 17, 18 Порядка;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2) по результатам рассмотрения конкурсных заявок и прилагаемых к ним документов принимает решение о соответствии (несоответствии)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организации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и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представленных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документов требованиям Порядка;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3) в случае соответствия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организации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и представленных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ею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документов требованиям Порядка принимает решение о допуске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участника конкурса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к участию в конкурсе;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4) 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в случае несоответствия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о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рганизации и представленных ею документов требованиям Порядка принимает решение об отклонении конкурсных заявок и об отказе в участии в конкурсе;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5) 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определяет победителя конкурса и принимает решение об определении победителя конкурса или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об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его отсутствии (далее – Решение).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4. Состав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Комиссии утверждается приказом министерства здравоохранения Новосибирской области (далее – Минздрав НСО) из числа работников Минздрава НСО, сотрудников подведомственных Минздраву НСО медицинских организаций и членов Общественного совета при Минздраве НСО.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5. Общее количеством членов Комиссии составляет не менее 7 человек. В состав комиссии входят председатель, секретарь и иные члены Комиссии.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6. Председатель Комиссии: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1) организует работу Комиссии;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2) руководит деятельностью Комиссии;</w:t>
      </w:r>
      <w:r/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3) определяет место и время проведения заседания.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7. Секретарь Комиссии: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1) обеспечивает подготовку материалов к заседаниям комиссии;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2) своевременно уведомляет членов комиссии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о месте, дате и времени ее проведения;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3) ведет протоколы заседаний Комиссии;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4) обеспечивает хранение документов конкурсной комиссии.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7. Члены Комиссии: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1) принимают личное участие в работе Комиссии, а при невозможности присутствовать на заседании Комиссии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,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заблаговременно извещают об этом секретаря Комиссии;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2) рассматривают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конкурсные заявки.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8. Работа Комиссии осуществляется в форме очных заседаний. Заседание Комиссии считается правомочным, если на нем присутствует не менее половины от общего количества ее членов.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Комиссия вправе привлекать экспертов для участия в ее заседаниях.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9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. Информация о дате, времени и месте проведения заседания Комиссии, а также о его повестке рассылается секретарем Комиссии членам Комиссии не позднее чем за два рабочих дня до дня проведения заседания Комиссии.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732"/>
        <w:ind w:firstLine="708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en-US"/>
        </w:rPr>
      </w:pP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10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. В случае если участие в заседании </w:t>
      </w:r>
      <w:r>
        <w:rPr>
          <w:rFonts w:ascii="Times New Roman" w:hAnsi="Times New Roman" w:eastAsia="Times New Roman"/>
          <w:sz w:val="27"/>
          <w:szCs w:val="27"/>
          <w:lang w:eastAsia="en-US"/>
        </w:rPr>
        <w:t xml:space="preserve">Комиссии может повлечь за собой конфликт интересов по вопросам, рассматриваемым на заседании, члены Комиссии обязаны сообщить в письменной форме о конфликте интересов председателю Комиссии, а также заявить самоотвод до начала проведения заседания Комиссии.</w:t>
      </w:r>
      <w:r>
        <w:rPr>
          <w:rFonts w:ascii="Times New Roman" w:hAnsi="Times New Roman" w:eastAsia="Times New Roman"/>
          <w:sz w:val="27"/>
          <w:szCs w:val="27"/>
          <w:lang w:eastAsia="en-US"/>
        </w:rPr>
      </w:r>
    </w:p>
    <w:p>
      <w:pPr>
        <w:pStyle w:val="835"/>
        <w:ind w:firstLine="709"/>
        <w:rPr>
          <w:sz w:val="27"/>
          <w:szCs w:val="27"/>
        </w:rPr>
      </w:pPr>
      <w:r>
        <w:rPr>
          <w:bCs/>
          <w:sz w:val="27"/>
          <w:szCs w:val="27"/>
        </w:rPr>
        <w:t xml:space="preserve">11</w:t>
      </w:r>
      <w:r>
        <w:rPr>
          <w:bCs/>
          <w:sz w:val="27"/>
          <w:szCs w:val="27"/>
        </w:rPr>
        <w:t xml:space="preserve">. </w:t>
      </w:r>
      <w:r>
        <w:rPr>
          <w:color w:val="000000"/>
          <w:sz w:val="27"/>
          <w:szCs w:val="27"/>
          <w:lang w:eastAsia="ru-RU" w:bidi="ru-RU"/>
        </w:rPr>
        <w:t xml:space="preserve">Конкурсные заявки, допущенные к участию в конкурсе, оцениваются каждым членом Конкурсной комиссии по 100-балльной шкале по каждому из критериев согласно пункту 27 Порядка</w:t>
      </w:r>
      <w:r>
        <w:rPr>
          <w:color w:val="000000"/>
          <w:sz w:val="27"/>
          <w:szCs w:val="27"/>
          <w:lang w:eastAsia="ru-RU" w:bidi="ru-RU"/>
        </w:rPr>
        <w:t xml:space="preserve"> (далее – критерии)</w:t>
      </w:r>
      <w:r>
        <w:rPr>
          <w:color w:val="000000"/>
          <w:sz w:val="27"/>
          <w:szCs w:val="27"/>
          <w:lang w:eastAsia="ru-RU" w:bidi="ru-RU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35"/>
        <w:ind w:firstLine="720"/>
        <w:shd w:val="clear" w:color="auto" w:fill="auto"/>
        <w:rPr>
          <w:sz w:val="27"/>
          <w:szCs w:val="27"/>
        </w:rPr>
      </w:pPr>
      <w:r>
        <w:rPr>
          <w:color w:val="000000"/>
          <w:sz w:val="27"/>
          <w:szCs w:val="27"/>
          <w:lang w:eastAsia="ru-RU" w:bidi="ru-RU"/>
        </w:rPr>
        <w:t xml:space="preserve">12.</w:t>
      </w:r>
      <w:r>
        <w:rPr>
          <w:color w:val="000000"/>
          <w:sz w:val="27"/>
          <w:szCs w:val="27"/>
          <w:lang w:eastAsia="ru-RU" w:bidi="ru-RU"/>
        </w:rPr>
        <w:t xml:space="preserve"> Комиссия выполняет расчет итогового рейтинга каждой конкурсной заявки путем деления общей суммы баллов, выставленных членами Комиссии по всем критериям по данной конкурсной заявке с учетом их веса, на число членов Комиссии.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35"/>
        <w:ind w:firstLine="720"/>
        <w:shd w:val="clear" w:color="auto" w:fill="auto"/>
        <w:rPr>
          <w:bCs/>
          <w:sz w:val="27"/>
          <w:szCs w:val="27"/>
        </w:rPr>
      </w:pPr>
      <w:r>
        <w:rPr>
          <w:color w:val="000000"/>
          <w:sz w:val="27"/>
          <w:szCs w:val="27"/>
          <w:lang w:eastAsia="ru-RU" w:bidi="ru-RU"/>
        </w:rPr>
        <w:t xml:space="preserve">Дробное значение рейтинга округляется до двух десятичных знаков после запятой по математическим правилам округления.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pStyle w:val="835"/>
        <w:ind w:firstLine="720"/>
        <w:shd w:val="clear" w:color="auto" w:fill="auto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13</w:t>
      </w:r>
      <w:r>
        <w:rPr>
          <w:bCs/>
          <w:sz w:val="27"/>
          <w:szCs w:val="27"/>
        </w:rPr>
        <w:t xml:space="preserve">. По результатам подсчета баллов Комиссия принимает решение о присвоении конкурсным заявкам порядковых номеров. Порядковый номер присваивается исходя из степени соответствия конкурсной заявки установленным критериям.</w:t>
      </w:r>
      <w:r>
        <w:rPr>
          <w:bCs/>
          <w:sz w:val="27"/>
          <w:szCs w:val="27"/>
        </w:rPr>
      </w:r>
    </w:p>
    <w:p>
      <w:pPr>
        <w:pStyle w:val="835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bCs/>
          <w:sz w:val="27"/>
          <w:szCs w:val="27"/>
        </w:rPr>
        <w:t xml:space="preserve">Конкурсной заявке, которая набрала наибольшее количество баллов, присваивается первый порядковый номер. </w:t>
      </w:r>
      <w:r>
        <w:rPr>
          <w:color w:val="000000"/>
          <w:sz w:val="27"/>
          <w:szCs w:val="27"/>
          <w:lang w:eastAsia="ru-RU" w:bidi="ru-RU"/>
        </w:rPr>
        <w:t xml:space="preserve">При равном количестве баллов, набранных конкурсными заявками, предпочтение отдается </w:t>
      </w:r>
      <w:r>
        <w:rPr>
          <w:bCs/>
          <w:color w:val="000000"/>
          <w:sz w:val="27"/>
          <w:szCs w:val="27"/>
        </w:rPr>
        <w:t xml:space="preserve">конкурсной</w:t>
      </w:r>
      <w:r>
        <w:rPr>
          <w:color w:val="000000"/>
          <w:sz w:val="27"/>
          <w:szCs w:val="27"/>
          <w:lang w:eastAsia="ru-RU" w:bidi="ru-RU"/>
        </w:rPr>
        <w:t xml:space="preserve"> заявке, которая по времени поступила ранее конкурсных заявок других организаций.</w:t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5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Победителем конкурса признается организация, которой присвоен первый порядковый номер</w:t>
      </w:r>
      <w:r>
        <w:rPr>
          <w:color w:val="000000"/>
          <w:sz w:val="27"/>
          <w:szCs w:val="27"/>
          <w:lang w:eastAsia="ru-RU" w:bidi="ru-RU"/>
        </w:rPr>
        <w:t xml:space="preserve">.</w:t>
      </w: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73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случае </w:t>
      </w:r>
      <w:r>
        <w:rPr>
          <w:rFonts w:ascii="Times New Roman" w:hAnsi="Times New Roman"/>
          <w:sz w:val="27"/>
          <w:szCs w:val="27"/>
        </w:rPr>
        <w:t xml:space="preserve">уклонения победителя конкурса от заключения соглашения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 предоставлении субсидии из об</w:t>
      </w:r>
      <w:r>
        <w:rPr>
          <w:rFonts w:ascii="Times New Roman" w:hAnsi="Times New Roman"/>
          <w:sz w:val="27"/>
          <w:szCs w:val="27"/>
        </w:rPr>
        <w:t xml:space="preserve">ластного бюджета Новосибирской области на финансовое обеспечение затрат (далее – соглашение), либо уклонения победителя конкурса от подписания соглашения в течение 3 (трех) рабочих дней с момента истечения срока для заключения соглашения, установленного в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"consultantplus://offline/ref=989CD1539818DCAA3ABE523E85A4B3F4F72C07D130181E063DFC6DF5421D48333A3C0065BE2DE5A5535C7C4D49B10F486ADCF53D3A367195B3CC444Bp0CFF" </w:instrText>
      </w:r>
      <w:r>
        <w:rPr>
          <w:sz w:val="27"/>
          <w:szCs w:val="27"/>
        </w:rPr>
        <w:fldChar w:fldCharType="separate"/>
      </w:r>
      <w:r>
        <w:rPr>
          <w:rFonts w:ascii="Times New Roman" w:hAnsi="Times New Roman"/>
          <w:sz w:val="27"/>
          <w:szCs w:val="27"/>
        </w:rPr>
        <w:t xml:space="preserve">пункте </w:t>
      </w:r>
      <w:r>
        <w:rPr>
          <w:rFonts w:ascii="Times New Roman" w:hAnsi="Times New Roman"/>
          <w:sz w:val="27"/>
          <w:szCs w:val="27"/>
        </w:rPr>
        <w:fldChar w:fldCharType="end"/>
      </w:r>
      <w:r>
        <w:rPr>
          <w:rFonts w:ascii="Times New Roman" w:hAnsi="Times New Roman"/>
          <w:sz w:val="27"/>
          <w:szCs w:val="27"/>
        </w:rPr>
        <w:t xml:space="preserve">42 Порядка, </w:t>
      </w:r>
      <w:r>
        <w:rPr>
          <w:rFonts w:ascii="Times New Roman" w:hAnsi="Times New Roman"/>
          <w:bCs/>
          <w:sz w:val="27"/>
          <w:szCs w:val="27"/>
        </w:rPr>
        <w:t xml:space="preserve">победитель конкурса теряет право на получение субсидии.</w:t>
      </w:r>
      <w:r>
        <w:rPr>
          <w:rFonts w:ascii="Times New Roman" w:hAnsi="Times New Roman"/>
          <w:bCs/>
          <w:sz w:val="27"/>
          <w:szCs w:val="27"/>
        </w:rPr>
      </w:r>
    </w:p>
    <w:p>
      <w:pPr>
        <w:pStyle w:val="732"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Соглашение заключается с участником конкурса, имеющим следующий порядковый номер, присвоенный Комиссией, идущий за номером победителя конкурса после </w:t>
      </w:r>
      <w:r>
        <w:rPr>
          <w:rFonts w:ascii="Times New Roman" w:hAnsi="Times New Roman"/>
          <w:sz w:val="27"/>
          <w:szCs w:val="27"/>
        </w:rPr>
        <w:t xml:space="preserve">проведения </w:t>
      </w:r>
      <w:r>
        <w:rPr>
          <w:rFonts w:ascii="Times New Roman" w:hAnsi="Times New Roman"/>
          <w:sz w:val="27"/>
          <w:szCs w:val="27"/>
        </w:rPr>
        <w:t xml:space="preserve">процедуры проверки Минздравом НСО участника конкурса, предусмотренной пунктами 34, 35 Порядка. </w:t>
      </w:r>
      <w:r>
        <w:rPr>
          <w:rFonts w:ascii="Times New Roman" w:hAnsi="Times New Roman"/>
          <w:sz w:val="27"/>
          <w:szCs w:val="27"/>
        </w:rPr>
      </w:r>
    </w:p>
    <w:p>
      <w:pPr>
        <w:pStyle w:val="835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14</w:t>
      </w:r>
      <w:r>
        <w:rPr>
          <w:color w:val="000000"/>
          <w:sz w:val="27"/>
          <w:szCs w:val="27"/>
          <w:lang w:eastAsia="ru-RU" w:bidi="ru-RU"/>
        </w:rPr>
        <w:t xml:space="preserve">. Решение Комиссии принимается в день рассмотрения конкурсных заявок в форме протокола.</w:t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5"/>
        <w:ind w:firstLine="720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15</w:t>
      </w:r>
      <w:r>
        <w:rPr>
          <w:color w:val="000000"/>
          <w:sz w:val="27"/>
          <w:szCs w:val="27"/>
          <w:lang w:eastAsia="ru-RU" w:bidi="ru-RU"/>
        </w:rPr>
        <w:t xml:space="preserve">. Все члены Комиссии осуществляют свою деятельность на безвозмездной основе, делегирование полномочий члена </w:t>
      </w:r>
      <w:r>
        <w:rPr>
          <w:color w:val="000000"/>
          <w:sz w:val="27"/>
          <w:szCs w:val="27"/>
          <w:lang w:eastAsia="ru-RU" w:bidi="ru-RU"/>
        </w:rPr>
        <w:t xml:space="preserve">К</w:t>
      </w:r>
      <w:r>
        <w:rPr>
          <w:color w:val="000000"/>
          <w:sz w:val="27"/>
          <w:szCs w:val="27"/>
          <w:lang w:eastAsia="ru-RU" w:bidi="ru-RU"/>
        </w:rPr>
        <w:t xml:space="preserve">омиссии не допускается. </w:t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5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16</w:t>
      </w:r>
      <w:r>
        <w:rPr>
          <w:color w:val="000000"/>
          <w:sz w:val="27"/>
          <w:szCs w:val="27"/>
          <w:lang w:eastAsia="ru-RU" w:bidi="ru-RU"/>
        </w:rPr>
        <w:t xml:space="preserve">.</w:t>
      </w:r>
      <w:r>
        <w:rPr>
          <w:color w:val="000000"/>
          <w:sz w:val="27"/>
          <w:szCs w:val="27"/>
          <w:lang w:eastAsia="ru-RU" w:bidi="ru-RU"/>
        </w:rPr>
        <w:t xml:space="preserve"> </w:t>
      </w:r>
      <w:r>
        <w:rPr>
          <w:color w:val="000000"/>
          <w:sz w:val="27"/>
          <w:szCs w:val="27"/>
          <w:lang w:eastAsia="ru-RU" w:bidi="ru-RU"/>
        </w:rPr>
        <w:t xml:space="preserve">Обеспечение работы </w:t>
      </w:r>
      <w:r>
        <w:rPr>
          <w:color w:val="000000"/>
          <w:sz w:val="27"/>
          <w:szCs w:val="27"/>
          <w:lang w:eastAsia="ru-RU" w:bidi="ru-RU"/>
        </w:rPr>
        <w:t xml:space="preserve">К</w:t>
      </w:r>
      <w:r>
        <w:rPr>
          <w:color w:val="000000"/>
          <w:sz w:val="27"/>
          <w:szCs w:val="27"/>
          <w:lang w:eastAsia="ru-RU" w:bidi="ru-RU"/>
        </w:rPr>
        <w:t xml:space="preserve">омиссии осуществляется </w:t>
      </w:r>
      <w:r>
        <w:rPr>
          <w:color w:val="000000"/>
          <w:sz w:val="27"/>
          <w:szCs w:val="27"/>
          <w:lang w:eastAsia="ru-RU" w:bidi="ru-RU"/>
        </w:rPr>
        <w:t xml:space="preserve">Минздравом НСО.</w:t>
      </w: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5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5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5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5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835"/>
        <w:ind w:firstLine="720"/>
        <w:jc w:val="center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_______________</w:t>
      </w: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276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0"/>
  </w:num>
  <w:num w:numId="3">
    <w:abstractNumId w:val="29"/>
  </w:num>
  <w:num w:numId="4">
    <w:abstractNumId w:val="22"/>
  </w:num>
  <w:num w:numId="5">
    <w:abstractNumId w:val="33"/>
  </w:num>
  <w:num w:numId="6">
    <w:abstractNumId w:val="37"/>
  </w:num>
  <w:num w:numId="7">
    <w:abstractNumId w:val="3"/>
  </w:num>
  <w:num w:numId="8">
    <w:abstractNumId w:val="17"/>
  </w:num>
  <w:num w:numId="9">
    <w:abstractNumId w:val="26"/>
  </w:num>
  <w:num w:numId="10">
    <w:abstractNumId w:val="11"/>
  </w:num>
  <w:num w:numId="11">
    <w:abstractNumId w:val="15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7"/>
  </w:num>
  <w:num w:numId="20">
    <w:abstractNumId w:val="12"/>
  </w:num>
  <w:num w:numId="21">
    <w:abstractNumId w:val="30"/>
  </w:num>
  <w:num w:numId="22">
    <w:abstractNumId w:val="31"/>
  </w:num>
  <w:num w:numId="23">
    <w:abstractNumId w:val="35"/>
  </w:num>
  <w:num w:numId="24">
    <w:abstractNumId w:val="1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3"/>
  </w:num>
  <w:num w:numId="30">
    <w:abstractNumId w:val="10"/>
  </w:num>
  <w:num w:numId="31">
    <w:abstractNumId w:val="6"/>
  </w:num>
  <w:num w:numId="32">
    <w:abstractNumId w:val="27"/>
  </w:num>
  <w:num w:numId="33">
    <w:abstractNumId w:val="41"/>
  </w:num>
  <w:num w:numId="34">
    <w:abstractNumId w:val="28"/>
  </w:num>
  <w:num w:numId="35">
    <w:abstractNumId w:val="13"/>
  </w:num>
  <w:num w:numId="36">
    <w:abstractNumId w:val="24"/>
  </w:num>
  <w:num w:numId="37">
    <w:abstractNumId w:val="24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38"/>
  </w:num>
  <w:num w:numId="39">
    <w:abstractNumId w:val="14"/>
  </w:num>
  <w:num w:numId="40">
    <w:abstractNumId w:val="14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4"/>
  </w:num>
  <w:num w:numId="42">
    <w:abstractNumId w:val="36"/>
  </w:num>
  <w:num w:numId="43">
    <w:abstractNumId w:val="19"/>
  </w:num>
  <w:num w:numId="44">
    <w:abstractNumId w:val="19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2"/>
    <w:next w:val="7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2"/>
    <w:next w:val="7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2"/>
    <w:next w:val="7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2"/>
    <w:next w:val="7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2"/>
    <w:next w:val="7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2"/>
    <w:next w:val="7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2"/>
    <w:next w:val="7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2"/>
    <w:next w:val="7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2"/>
    <w:next w:val="7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2"/>
    <w:next w:val="7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32"/>
    <w:next w:val="7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32"/>
    <w:next w:val="7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2"/>
    <w:next w:val="7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3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32"/>
    <w:next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32"/>
    <w:next w:val="7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2"/>
    <w:next w:val="7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2"/>
    <w:next w:val="7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2"/>
    <w:next w:val="7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2"/>
    <w:next w:val="7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2"/>
    <w:next w:val="7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2"/>
    <w:next w:val="7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2"/>
    <w:next w:val="7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2"/>
    <w:next w:val="7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2"/>
    <w:next w:val="732"/>
    <w:uiPriority w:val="99"/>
    <w:unhideWhenUsed/>
    <w:pPr>
      <w:spacing w:after="0" w:afterAutospacing="0"/>
    </w:pPr>
  </w:style>
  <w:style w:type="paragraph" w:styleId="732" w:default="1">
    <w:name w:val="Normal"/>
    <w:next w:val="732"/>
    <w:link w:val="73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33">
    <w:name w:val="Заголовок 1"/>
    <w:basedOn w:val="732"/>
    <w:next w:val="732"/>
    <w:link w:val="748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734">
    <w:name w:val="Заголовок 2"/>
    <w:basedOn w:val="732"/>
    <w:next w:val="732"/>
    <w:link w:val="749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735">
    <w:name w:val="Заголовок 3"/>
    <w:basedOn w:val="732"/>
    <w:next w:val="732"/>
    <w:link w:val="750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736">
    <w:name w:val="Заголовок 5"/>
    <w:basedOn w:val="732"/>
    <w:next w:val="732"/>
    <w:link w:val="786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737">
    <w:name w:val="Основной шрифт абзаца"/>
    <w:next w:val="737"/>
    <w:link w:val="732"/>
    <w:uiPriority w:val="1"/>
    <w:unhideWhenUsed/>
  </w:style>
  <w:style w:type="table" w:styleId="738">
    <w:name w:val="Обычная таблица"/>
    <w:next w:val="738"/>
    <w:link w:val="732"/>
    <w:uiPriority w:val="99"/>
    <w:semiHidden/>
    <w:unhideWhenUsed/>
    <w:tblPr/>
  </w:style>
  <w:style w:type="numbering" w:styleId="739">
    <w:name w:val="Нет списка"/>
    <w:next w:val="739"/>
    <w:link w:val="732"/>
    <w:uiPriority w:val="99"/>
    <w:semiHidden/>
    <w:unhideWhenUsed/>
  </w:style>
  <w:style w:type="paragraph" w:styleId="740">
    <w:name w:val="ConsPlusCell"/>
    <w:next w:val="740"/>
    <w:link w:val="732"/>
    <w:rPr>
      <w:rFonts w:ascii="Arial" w:hAnsi="Arial" w:eastAsia="Times New Roman" w:cs="Arial"/>
      <w:lang w:val="ru-RU" w:eastAsia="ru-RU" w:bidi="ar-SA"/>
    </w:rPr>
  </w:style>
  <w:style w:type="paragraph" w:styleId="741">
    <w:name w:val="ConsPlusNonformat"/>
    <w:next w:val="741"/>
    <w:link w:val="732"/>
    <w:rPr>
      <w:rFonts w:ascii="Courier New" w:hAnsi="Courier New" w:eastAsia="Times New Roman" w:cs="Courier New"/>
      <w:lang w:val="ru-RU" w:eastAsia="ru-RU" w:bidi="ar-SA"/>
    </w:rPr>
  </w:style>
  <w:style w:type="table" w:styleId="742">
    <w:name w:val="Сетка таблицы"/>
    <w:basedOn w:val="738"/>
    <w:next w:val="742"/>
    <w:link w:val="732"/>
    <w:uiPriority w:val="59"/>
    <w:tblPr/>
  </w:style>
  <w:style w:type="character" w:styleId="743">
    <w:name w:val="Гиперссылка"/>
    <w:next w:val="743"/>
    <w:link w:val="732"/>
    <w:uiPriority w:val="99"/>
    <w:unhideWhenUsed/>
    <w:rPr>
      <w:color w:val="0000ff"/>
      <w:u w:val="single"/>
    </w:rPr>
  </w:style>
  <w:style w:type="paragraph" w:styleId="744">
    <w:name w:val="Верхний колонтитул"/>
    <w:basedOn w:val="732"/>
    <w:next w:val="744"/>
    <w:link w:val="74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745">
    <w:name w:val="Верхний колонтитул Знак"/>
    <w:next w:val="745"/>
    <w:link w:val="744"/>
    <w:uiPriority w:val="99"/>
    <w:rPr>
      <w:sz w:val="24"/>
      <w:szCs w:val="24"/>
      <w:lang w:val="ru-RU" w:eastAsia="ru-RU" w:bidi="ar-SA"/>
    </w:rPr>
  </w:style>
  <w:style w:type="character" w:styleId="746">
    <w:name w:val="Номер страницы"/>
    <w:basedOn w:val="737"/>
    <w:next w:val="746"/>
    <w:link w:val="732"/>
  </w:style>
  <w:style w:type="paragraph" w:styleId="747">
    <w:name w:val="ConsPlusNormal"/>
    <w:next w:val="747"/>
    <w:link w:val="732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748">
    <w:name w:val="Заголовок 1 Знак"/>
    <w:next w:val="748"/>
    <w:link w:val="733"/>
    <w:rPr>
      <w:b/>
      <w:bCs/>
      <w:sz w:val="24"/>
      <w:szCs w:val="24"/>
      <w:lang w:val="ru-RU" w:eastAsia="ru-RU" w:bidi="ar-SA"/>
    </w:rPr>
  </w:style>
  <w:style w:type="character" w:styleId="749">
    <w:name w:val="Заголовок 2 Знак"/>
    <w:next w:val="749"/>
    <w:link w:val="734"/>
    <w:rPr>
      <w:sz w:val="28"/>
      <w:szCs w:val="28"/>
      <w:lang w:val="ru-RU" w:eastAsia="ru-RU" w:bidi="ar-SA"/>
    </w:rPr>
  </w:style>
  <w:style w:type="character" w:styleId="750">
    <w:name w:val="Заголовок 3 Знак"/>
    <w:next w:val="750"/>
    <w:link w:val="735"/>
    <w:rPr>
      <w:sz w:val="36"/>
      <w:szCs w:val="36"/>
      <w:lang w:val="ru-RU" w:eastAsia="ru-RU" w:bidi="ar-SA"/>
    </w:rPr>
  </w:style>
  <w:style w:type="paragraph" w:styleId="751">
    <w:name w:val="Стандартный HTML"/>
    <w:basedOn w:val="732"/>
    <w:next w:val="751"/>
    <w:link w:val="752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752">
    <w:name w:val="Стандартный HTML Знак"/>
    <w:next w:val="752"/>
    <w:link w:val="751"/>
    <w:rPr>
      <w:rFonts w:ascii="Courier New" w:hAnsi="Courier New" w:cs="Courier New"/>
      <w:lang w:val="ru-RU" w:eastAsia="ru-RU" w:bidi="ar-SA"/>
    </w:rPr>
  </w:style>
  <w:style w:type="paragraph" w:styleId="753">
    <w:name w:val="Основной текст с отступом 3"/>
    <w:basedOn w:val="732"/>
    <w:next w:val="753"/>
    <w:link w:val="754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754">
    <w:name w:val="Основной текст с отступом 3 Знак"/>
    <w:next w:val="754"/>
    <w:link w:val="753"/>
    <w:rPr>
      <w:sz w:val="28"/>
      <w:lang w:val="ru-RU" w:eastAsia="ru-RU" w:bidi="ar-SA"/>
    </w:rPr>
  </w:style>
  <w:style w:type="paragraph" w:styleId="755">
    <w:name w:val="Основной текст 3"/>
    <w:basedOn w:val="732"/>
    <w:next w:val="755"/>
    <w:link w:val="756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756">
    <w:name w:val="Основной текст 3 Знак"/>
    <w:next w:val="756"/>
    <w:link w:val="755"/>
    <w:rPr>
      <w:sz w:val="28"/>
      <w:lang w:val="ru-RU" w:eastAsia="ru-RU" w:bidi="ar-SA"/>
    </w:rPr>
  </w:style>
  <w:style w:type="character" w:styleId="757">
    <w:name w:val=" Знак Знак9"/>
    <w:next w:val="757"/>
    <w:link w:val="732"/>
    <w:rPr>
      <w:rFonts w:ascii="Times New Roman" w:hAnsi="Times New Roman" w:eastAsia="Times New Roman"/>
      <w:sz w:val="24"/>
      <w:szCs w:val="24"/>
    </w:rPr>
  </w:style>
  <w:style w:type="paragraph" w:styleId="758">
    <w:name w:val="Нижний колонтитул"/>
    <w:basedOn w:val="732"/>
    <w:next w:val="758"/>
    <w:link w:val="78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59">
    <w:name w:val="Схема документа"/>
    <w:basedOn w:val="732"/>
    <w:next w:val="759"/>
    <w:link w:val="760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760">
    <w:name w:val="Схема документа Знак"/>
    <w:next w:val="760"/>
    <w:link w:val="759"/>
    <w:semiHidden/>
    <w:rPr>
      <w:rFonts w:ascii="Tahoma" w:hAnsi="Tahoma" w:cs="Tahoma"/>
      <w:lang w:val="ru-RU" w:eastAsia="ru-RU" w:bidi="ar-SA"/>
    </w:rPr>
  </w:style>
  <w:style w:type="paragraph" w:styleId="761">
    <w:name w:val="ConsPlusTitle"/>
    <w:next w:val="761"/>
    <w:link w:val="732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762">
    <w:name w:val="Основной текст"/>
    <w:basedOn w:val="732"/>
    <w:next w:val="762"/>
    <w:link w:val="763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763">
    <w:name w:val="Основной текст Знак"/>
    <w:next w:val="763"/>
    <w:link w:val="762"/>
    <w:rPr>
      <w:sz w:val="28"/>
      <w:szCs w:val="24"/>
      <w:lang w:val="ru-RU" w:eastAsia="ru-RU" w:bidi="ar-SA"/>
    </w:rPr>
  </w:style>
  <w:style w:type="paragraph" w:styleId="764">
    <w:name w:val="Текст выноски"/>
    <w:basedOn w:val="732"/>
    <w:next w:val="764"/>
    <w:link w:val="765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765">
    <w:name w:val="Текст выноски Знак"/>
    <w:next w:val="765"/>
    <w:link w:val="764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766">
    <w:name w:val="заголовок 1"/>
    <w:basedOn w:val="732"/>
    <w:next w:val="732"/>
    <w:link w:val="732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67">
    <w:name w:val="заголовок 4"/>
    <w:basedOn w:val="732"/>
    <w:next w:val="732"/>
    <w:link w:val="732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768">
    <w:name w:val="Основной шрифт"/>
    <w:next w:val="768"/>
    <w:link w:val="732"/>
  </w:style>
  <w:style w:type="paragraph" w:styleId="769">
    <w:name w:val="Eiio"/>
    <w:basedOn w:val="732"/>
    <w:next w:val="769"/>
    <w:link w:val="732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770">
    <w:name w:val="Заголовок,Название"/>
    <w:basedOn w:val="732"/>
    <w:next w:val="770"/>
    <w:link w:val="771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771">
    <w:name w:val="Название Знак"/>
    <w:next w:val="771"/>
    <w:link w:val="770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772">
    <w:name w:val="Основной текст 2"/>
    <w:basedOn w:val="732"/>
    <w:next w:val="772"/>
    <w:link w:val="773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773">
    <w:name w:val="Основной текст 2 Знак"/>
    <w:next w:val="773"/>
    <w:link w:val="772"/>
    <w:rPr>
      <w:sz w:val="28"/>
      <w:szCs w:val="28"/>
      <w:lang w:val="ru-RU" w:eastAsia="ru-RU" w:bidi="ar-SA"/>
    </w:rPr>
  </w:style>
  <w:style w:type="character" w:styleId="774">
    <w:name w:val="номер страницы"/>
    <w:next w:val="774"/>
    <w:link w:val="732"/>
    <w:rPr>
      <w:rFonts w:cs="Times New Roman"/>
    </w:rPr>
  </w:style>
  <w:style w:type="paragraph" w:styleId="775">
    <w:name w:val="Основной текст с отступом 2"/>
    <w:basedOn w:val="732"/>
    <w:next w:val="775"/>
    <w:link w:val="776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776">
    <w:name w:val="Основной текст с отступом 2 Знак"/>
    <w:next w:val="776"/>
    <w:link w:val="775"/>
    <w:rPr>
      <w:sz w:val="28"/>
      <w:szCs w:val="28"/>
      <w:lang w:val="ru-RU" w:eastAsia="ru-RU" w:bidi="ar-SA"/>
    </w:rPr>
  </w:style>
  <w:style w:type="paragraph" w:styleId="777">
    <w:name w:val="Абзац списка"/>
    <w:basedOn w:val="732"/>
    <w:next w:val="777"/>
    <w:link w:val="732"/>
    <w:uiPriority w:val="34"/>
    <w:qFormat/>
    <w:pPr>
      <w:contextualSpacing/>
      <w:ind w:left="720"/>
    </w:pPr>
    <w:rPr>
      <w:rFonts w:eastAsia="Times New Roman"/>
    </w:rPr>
  </w:style>
  <w:style w:type="character" w:styleId="778">
    <w:name w:val="Знак примечания"/>
    <w:next w:val="778"/>
    <w:link w:val="732"/>
    <w:rPr>
      <w:rFonts w:cs="Times New Roman"/>
      <w:sz w:val="16"/>
      <w:szCs w:val="16"/>
    </w:rPr>
  </w:style>
  <w:style w:type="paragraph" w:styleId="779">
    <w:name w:val="Текст примечания"/>
    <w:basedOn w:val="732"/>
    <w:next w:val="779"/>
    <w:link w:val="780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780">
    <w:name w:val="Текст примечания Знак"/>
    <w:next w:val="780"/>
    <w:link w:val="779"/>
    <w:rPr>
      <w:lang w:val="ru-RU" w:eastAsia="ru-RU" w:bidi="ar-SA"/>
    </w:rPr>
  </w:style>
  <w:style w:type="paragraph" w:styleId="781">
    <w:name w:val="Тема примечания"/>
    <w:basedOn w:val="779"/>
    <w:next w:val="779"/>
    <w:link w:val="782"/>
    <w:rPr>
      <w:b/>
      <w:bCs/>
    </w:rPr>
  </w:style>
  <w:style w:type="character" w:styleId="782">
    <w:name w:val="Тема примечания Знак"/>
    <w:next w:val="782"/>
    <w:link w:val="781"/>
    <w:rPr>
      <w:b/>
      <w:bCs/>
      <w:lang w:val="ru-RU" w:eastAsia="ru-RU" w:bidi="ar-SA"/>
    </w:rPr>
  </w:style>
  <w:style w:type="paragraph" w:styleId="783">
    <w:name w:val="Обычный (веб)"/>
    <w:basedOn w:val="732"/>
    <w:next w:val="783"/>
    <w:link w:val="7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84">
    <w:name w:val="Нижний колонтитул Знак"/>
    <w:next w:val="784"/>
    <w:link w:val="758"/>
    <w:uiPriority w:val="99"/>
    <w:rPr>
      <w:rFonts w:ascii="Times New Roman" w:hAnsi="Times New Roman" w:eastAsia="Times New Roman"/>
      <w:sz w:val="24"/>
      <w:szCs w:val="24"/>
    </w:rPr>
  </w:style>
  <w:style w:type="paragraph" w:styleId="785">
    <w:name w:val="List Paragraph"/>
    <w:basedOn w:val="732"/>
    <w:next w:val="785"/>
    <w:link w:val="732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786">
    <w:name w:val="Заголовок 5 Знак"/>
    <w:next w:val="786"/>
    <w:link w:val="736"/>
    <w:rPr>
      <w:rFonts w:ascii="Times New Roman" w:hAnsi="Times New Roman" w:eastAsia="Arial Unicode MS"/>
      <w:sz w:val="28"/>
      <w:szCs w:val="24"/>
    </w:rPr>
  </w:style>
  <w:style w:type="numbering" w:styleId="787">
    <w:name w:val="Нет списка1"/>
    <w:next w:val="739"/>
    <w:link w:val="732"/>
    <w:uiPriority w:val="99"/>
    <w:semiHidden/>
    <w:unhideWhenUsed/>
  </w:style>
  <w:style w:type="paragraph" w:styleId="788">
    <w:name w:val="Название объекта"/>
    <w:basedOn w:val="732"/>
    <w:next w:val="732"/>
    <w:link w:val="732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789">
    <w:name w:val="Сетка таблицы1"/>
    <w:basedOn w:val="738"/>
    <w:next w:val="742"/>
    <w:link w:val="732"/>
    <w:rPr>
      <w:rFonts w:ascii="Times New Roman" w:hAnsi="Times New Roman" w:eastAsia="Times New Roman"/>
    </w:rPr>
    <w:tblPr/>
  </w:style>
  <w:style w:type="paragraph" w:styleId="790">
    <w:name w:val="Абзац списка1"/>
    <w:basedOn w:val="732"/>
    <w:next w:val="790"/>
    <w:link w:val="732"/>
    <w:pPr>
      <w:contextualSpacing/>
      <w:ind w:left="720"/>
    </w:pPr>
    <w:rPr>
      <w:rFonts w:eastAsia="Times New Roman"/>
      <w:lang w:eastAsia="ru-RU"/>
    </w:rPr>
  </w:style>
  <w:style w:type="character" w:styleId="791">
    <w:name w:val="Основной текст_"/>
    <w:next w:val="791"/>
    <w:link w:val="794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92">
    <w:name w:val="Основной текст (2)_"/>
    <w:next w:val="792"/>
    <w:link w:val="795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793">
    <w:name w:val="Заголовок №1_"/>
    <w:next w:val="793"/>
    <w:link w:val="796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794">
    <w:name w:val="Основной текст3"/>
    <w:basedOn w:val="732"/>
    <w:next w:val="794"/>
    <w:link w:val="791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95">
    <w:name w:val="Основной текст (2)"/>
    <w:basedOn w:val="732"/>
    <w:next w:val="795"/>
    <w:link w:val="792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796">
    <w:name w:val="Заголовок №1"/>
    <w:basedOn w:val="732"/>
    <w:next w:val="796"/>
    <w:link w:val="793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797">
    <w:name w:val="Сетка таблицы2"/>
    <w:basedOn w:val="738"/>
    <w:next w:val="742"/>
    <w:link w:val="732"/>
    <w:rPr>
      <w:rFonts w:ascii="Times New Roman" w:hAnsi="Times New Roman" w:eastAsia="Times New Roman"/>
    </w:rPr>
    <w:tblPr/>
  </w:style>
  <w:style w:type="table" w:styleId="798">
    <w:name w:val="Сетка таблицы3"/>
    <w:basedOn w:val="738"/>
    <w:next w:val="742"/>
    <w:link w:val="732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799">
    <w:name w:val="Сетка таблицы4"/>
    <w:basedOn w:val="738"/>
    <w:next w:val="742"/>
    <w:link w:val="732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800">
    <w:name w:val="Сетка таблицы5"/>
    <w:basedOn w:val="738"/>
    <w:next w:val="742"/>
    <w:link w:val="732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801">
    <w:name w:val="Сетка таблицы6"/>
    <w:basedOn w:val="738"/>
    <w:next w:val="742"/>
    <w:link w:val="732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802">
    <w:name w:val="Текст сноски"/>
    <w:basedOn w:val="732"/>
    <w:next w:val="802"/>
    <w:link w:val="803"/>
    <w:uiPriority w:val="99"/>
    <w:unhideWhenUsed/>
    <w:pPr>
      <w:spacing w:after="0" w:line="240" w:lineRule="auto"/>
    </w:pPr>
    <w:rPr>
      <w:sz w:val="20"/>
      <w:szCs w:val="20"/>
    </w:rPr>
  </w:style>
  <w:style w:type="character" w:styleId="803">
    <w:name w:val="Текст сноски Знак"/>
    <w:next w:val="803"/>
    <w:link w:val="802"/>
    <w:uiPriority w:val="99"/>
    <w:rPr>
      <w:lang w:eastAsia="en-US"/>
    </w:rPr>
  </w:style>
  <w:style w:type="character" w:styleId="804">
    <w:name w:val="Знак сноски"/>
    <w:next w:val="804"/>
    <w:link w:val="732"/>
    <w:uiPriority w:val="99"/>
    <w:unhideWhenUsed/>
    <w:rPr>
      <w:vertAlign w:val="superscript"/>
    </w:rPr>
  </w:style>
  <w:style w:type="paragraph" w:styleId="805">
    <w:name w:val="Style3"/>
    <w:basedOn w:val="732"/>
    <w:next w:val="805"/>
    <w:link w:val="732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6">
    <w:name w:val="Style19"/>
    <w:basedOn w:val="732"/>
    <w:next w:val="806"/>
    <w:link w:val="732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7">
    <w:name w:val="Style20"/>
    <w:basedOn w:val="732"/>
    <w:next w:val="807"/>
    <w:link w:val="732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8">
    <w:name w:val="Style43"/>
    <w:basedOn w:val="732"/>
    <w:next w:val="808"/>
    <w:link w:val="732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09">
    <w:name w:val="Style46"/>
    <w:basedOn w:val="732"/>
    <w:next w:val="809"/>
    <w:link w:val="732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0">
    <w:name w:val="Style51"/>
    <w:basedOn w:val="732"/>
    <w:next w:val="810"/>
    <w:link w:val="732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1">
    <w:name w:val="Font Style87"/>
    <w:next w:val="811"/>
    <w:link w:val="732"/>
    <w:uiPriority w:val="99"/>
    <w:rPr>
      <w:rFonts w:ascii="Times New Roman" w:hAnsi="Times New Roman" w:cs="Times New Roman"/>
      <w:sz w:val="26"/>
      <w:szCs w:val="26"/>
    </w:rPr>
  </w:style>
  <w:style w:type="character" w:styleId="812">
    <w:name w:val="Font Style90"/>
    <w:next w:val="812"/>
    <w:link w:val="732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813">
    <w:name w:val="Style40"/>
    <w:basedOn w:val="732"/>
    <w:next w:val="813"/>
    <w:link w:val="732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4">
    <w:name w:val="Font Style88"/>
    <w:next w:val="814"/>
    <w:link w:val="732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815">
    <w:name w:val="Style59"/>
    <w:basedOn w:val="732"/>
    <w:next w:val="815"/>
    <w:link w:val="732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6">
    <w:name w:val="Font Style98"/>
    <w:next w:val="816"/>
    <w:link w:val="732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817">
    <w:name w:val="Style39"/>
    <w:basedOn w:val="732"/>
    <w:next w:val="817"/>
    <w:link w:val="732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18">
    <w:name w:val="Font Style129"/>
    <w:next w:val="818"/>
    <w:link w:val="732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819">
    <w:name w:val="Font Style86"/>
    <w:next w:val="819"/>
    <w:link w:val="732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820">
    <w:name w:val="Style5"/>
    <w:basedOn w:val="732"/>
    <w:next w:val="820"/>
    <w:link w:val="732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21">
    <w:name w:val="Текст концевой сноски"/>
    <w:basedOn w:val="732"/>
    <w:next w:val="821"/>
    <w:link w:val="822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822">
    <w:name w:val="Текст концевой сноски Знак"/>
    <w:next w:val="822"/>
    <w:link w:val="821"/>
    <w:uiPriority w:val="99"/>
    <w:rPr>
      <w:lang w:eastAsia="en-US"/>
    </w:rPr>
  </w:style>
  <w:style w:type="character" w:styleId="823">
    <w:name w:val="Знак концевой сноски"/>
    <w:next w:val="823"/>
    <w:link w:val="732"/>
    <w:uiPriority w:val="99"/>
    <w:unhideWhenUsed/>
    <w:rPr>
      <w:vertAlign w:val="superscript"/>
    </w:rPr>
  </w:style>
  <w:style w:type="numbering" w:styleId="824">
    <w:name w:val="Нет списка2"/>
    <w:next w:val="739"/>
    <w:link w:val="732"/>
    <w:uiPriority w:val="99"/>
    <w:semiHidden/>
    <w:unhideWhenUsed/>
  </w:style>
  <w:style w:type="table" w:styleId="825">
    <w:name w:val="Сетка таблицы7"/>
    <w:basedOn w:val="738"/>
    <w:next w:val="742"/>
    <w:link w:val="732"/>
    <w:uiPriority w:val="59"/>
    <w:tblPr/>
  </w:style>
  <w:style w:type="numbering" w:styleId="826">
    <w:name w:val="Нет списка11"/>
    <w:next w:val="739"/>
    <w:link w:val="732"/>
    <w:uiPriority w:val="99"/>
    <w:semiHidden/>
    <w:unhideWhenUsed/>
  </w:style>
  <w:style w:type="table" w:styleId="827">
    <w:name w:val="Сетка таблицы11"/>
    <w:basedOn w:val="738"/>
    <w:next w:val="742"/>
    <w:link w:val="732"/>
    <w:rPr>
      <w:rFonts w:ascii="Times New Roman" w:hAnsi="Times New Roman" w:eastAsia="Times New Roman"/>
    </w:rPr>
    <w:tblPr/>
  </w:style>
  <w:style w:type="table" w:styleId="828">
    <w:name w:val="Сетка таблицы21"/>
    <w:basedOn w:val="738"/>
    <w:next w:val="742"/>
    <w:link w:val="732"/>
    <w:rPr>
      <w:rFonts w:ascii="Times New Roman" w:hAnsi="Times New Roman" w:eastAsia="Times New Roman"/>
    </w:rPr>
    <w:tblPr/>
  </w:style>
  <w:style w:type="table" w:styleId="829">
    <w:name w:val="Сетка таблицы31"/>
    <w:basedOn w:val="738"/>
    <w:next w:val="742"/>
    <w:link w:val="732"/>
    <w:uiPriority w:val="59"/>
    <w:rPr>
      <w:rFonts w:eastAsia="Times New Roman"/>
      <w:sz w:val="22"/>
      <w:szCs w:val="22"/>
    </w:rPr>
    <w:tblPr/>
  </w:style>
  <w:style w:type="table" w:styleId="830">
    <w:name w:val="Сетка таблицы41"/>
    <w:basedOn w:val="738"/>
    <w:next w:val="742"/>
    <w:link w:val="732"/>
    <w:uiPriority w:val="59"/>
    <w:rPr>
      <w:rFonts w:eastAsia="Times New Roman"/>
      <w:sz w:val="22"/>
      <w:szCs w:val="22"/>
    </w:rPr>
    <w:tblPr/>
  </w:style>
  <w:style w:type="table" w:styleId="831">
    <w:name w:val="Сетка таблицы51"/>
    <w:basedOn w:val="738"/>
    <w:next w:val="742"/>
    <w:link w:val="732"/>
    <w:uiPriority w:val="59"/>
    <w:rPr>
      <w:rFonts w:eastAsia="Times New Roman"/>
      <w:sz w:val="22"/>
      <w:szCs w:val="22"/>
    </w:rPr>
    <w:tblPr/>
  </w:style>
  <w:style w:type="table" w:styleId="832">
    <w:name w:val="Сетка таблицы61"/>
    <w:basedOn w:val="738"/>
    <w:next w:val="742"/>
    <w:link w:val="732"/>
    <w:uiPriority w:val="59"/>
    <w:rPr>
      <w:rFonts w:eastAsia="Times New Roman"/>
      <w:sz w:val="22"/>
      <w:szCs w:val="22"/>
    </w:rPr>
    <w:tblPr/>
  </w:style>
  <w:style w:type="character" w:styleId="833">
    <w:name w:val="Название Знак1"/>
    <w:next w:val="833"/>
    <w:link w:val="732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834">
    <w:name w:val="Без интервала"/>
    <w:next w:val="834"/>
    <w:link w:val="732"/>
    <w:uiPriority w:val="1"/>
    <w:qFormat/>
    <w:rPr>
      <w:rFonts w:eastAsia="Times New Roman"/>
      <w:sz w:val="22"/>
      <w:szCs w:val="22"/>
      <w:lang w:val="ru-RU" w:eastAsia="en-US" w:bidi="ar-SA"/>
    </w:rPr>
  </w:style>
  <w:style w:type="paragraph" w:styleId="835">
    <w:name w:val="Основной текст1"/>
    <w:basedOn w:val="732"/>
    <w:next w:val="835"/>
    <w:link w:val="732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836">
    <w:name w:val="Рецензия"/>
    <w:next w:val="836"/>
    <w:link w:val="732"/>
    <w:hidden/>
    <w:uiPriority w:val="99"/>
    <w:semiHidden/>
    <w:rPr>
      <w:sz w:val="22"/>
      <w:szCs w:val="22"/>
      <w:lang w:val="ru-RU" w:eastAsia="en-US" w:bidi="ar-SA"/>
    </w:rPr>
  </w:style>
  <w:style w:type="character" w:styleId="1162" w:default="1">
    <w:name w:val="Default Paragraph Font"/>
    <w:uiPriority w:val="1"/>
    <w:semiHidden/>
    <w:unhideWhenUsed/>
  </w:style>
  <w:style w:type="numbering" w:styleId="1163" w:default="1">
    <w:name w:val="No List"/>
    <w:uiPriority w:val="99"/>
    <w:semiHidden/>
    <w:unhideWhenUsed/>
  </w:style>
  <w:style w:type="table" w:styleId="11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4</cp:revision>
  <dcterms:created xsi:type="dcterms:W3CDTF">2022-12-28T08:54:00Z</dcterms:created>
  <dcterms:modified xsi:type="dcterms:W3CDTF">2024-01-17T03:36:11Z</dcterms:modified>
  <cp:version>1048576</cp:version>
</cp:coreProperties>
</file>