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61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</w:p>
    <w:p>
      <w:pPr>
        <w:tabs>
          <w:tab w:val="left" w:pos="261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</w:p>
    <w:p>
      <w:pPr>
        <w:tabs>
          <w:tab w:val="left" w:pos="261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pStyle w:val="6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Правительства Новосибирской области от 23.03.2022 № 113-п </w:t>
      </w:r>
      <w:r>
        <w:rPr>
          <w:sz w:val="28"/>
          <w:szCs w:val="28"/>
        </w:rPr>
      </w:r>
    </w:p>
    <w:p>
      <w:pPr>
        <w:pStyle w:val="68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68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</w:t>
      </w:r>
      <w:r>
        <w:rPr>
          <w:rFonts w:ascii="Times New Roman" w:hAnsi="Times New Roman" w:cs="Times New Roman"/>
          <w:sz w:val="28"/>
          <w:szCs w:val="28"/>
        </w:rPr>
        <w:t xml:space="preserve">ации Указа Президента Российской Федерации от 16.03.2022 № 121 «О мерах по обеспечению социально-экономической стабильности и защиты населения в Российской Федерации», в соответствии с пунктом 7 постановления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23.01.2024 № 50 «</w:t>
      </w:r>
      <w:r>
        <w:rPr>
          <w:rFonts w:ascii="Times New Roman" w:hAnsi="Times New Roman" w:cs="Times New Roman"/>
          <w:sz w:val="28"/>
          <w:szCs w:val="28"/>
        </w:rPr>
        <w:t xml:space="preserve">О приостановлении действия абзаца четвертого подпункта «а» и подпункта «б»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</w:t>
      </w:r>
      <w:r>
        <w:rPr>
          <w:rFonts w:ascii="Times New Roman" w:hAnsi="Times New Roman" w:cs="Times New Roman"/>
          <w:sz w:val="28"/>
          <w:szCs w:val="28"/>
        </w:rPr>
        <w:t xml:space="preserve">4 году»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 о с т а н о в л я е 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23.03.2022 № 113-п «Об изменении существенных условий контрактов на закупку товаров, работ, услуг для государственных нужд Новосибирской области» следующее изменение: </w:t>
      </w:r>
      <w:r>
        <w:rPr>
          <w:sz w:val="28"/>
          <w:szCs w:val="28"/>
        </w:rPr>
      </w:r>
    </w:p>
    <w:p>
      <w:pPr>
        <w:spacing w:after="1" w:line="280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дополнить абзацем </w:t>
      </w:r>
      <w:r>
        <w:rPr>
          <w:sz w:val="28"/>
          <w:szCs w:val="28"/>
        </w:rPr>
        <w:t xml:space="preserve">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2024 году при изменении по соглашени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сторон существенных условий контракт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средства на финансовое обеспечение котор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подлежат казначейскому сопровождению в соответствии с бюджетным законодательством Российской Федерации, в части увеличения размера авансового платежа допускается предусматривать авансовы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платеж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размере до 50 процентов суммы контракта, но не более лимитов бюджетных обязательств, доведенных до получателей средств областного бюджета Новосибирской области на указанные цели на </w:t>
      </w:r>
      <w:r>
        <w:rPr>
          <w:sz w:val="28"/>
          <w:szCs w:val="28"/>
        </w:rPr>
        <w:t xml:space="preserve">соответствующий финансовый год, объемов финансового обеспечения закупок, предусмотренных планом финансово-хозяйственной деятельности.».</w:t>
      </w:r>
      <w:r>
        <w:rPr>
          <w:sz w:val="28"/>
          <w:szCs w:val="28"/>
        </w:rPr>
      </w: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И.П. Швец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bCs/>
          <w:sz w:val="20"/>
          <w:szCs w:val="20"/>
        </w:rPr>
        <w:t xml:space="preserve">238 64 23</w:t>
      </w: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</w:p>
    <w:tbl>
      <w:tblPr>
        <w:tblStyle w:val="683"/>
        <w:tblW w:w="31448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64"/>
        <w:gridCol w:w="284"/>
      </w:tblGrid>
      <w:tr>
        <w:trPr/>
        <w:tc>
          <w:tcPr>
            <w:tcW w:w="31164" w:type="dxa"/>
            <w:gridSpan w:val="2"/>
            <w:noWrap w:val="false"/>
            <w:textDirection w:val="lrTb"/>
          </w:tcPr>
          <w:p>
            <w:pPr>
              <w:tabs>
                <w:tab w:val="left" w:pos="9315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rPr>
          <w:gridAfter w:val="1"/>
        </w:trPr>
        <w:tc>
          <w:tcPr>
            <w:tcW w:w="31164" w:type="dxa"/>
            <w:noWrap w:val="false"/>
            <w:textDirection w:val="lrTb"/>
          </w:tcPr>
          <w:tbl>
            <w:tblPr>
              <w:tblStyle w:val="683"/>
              <w:tblW w:w="999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5766"/>
              <w:gridCol w:w="368"/>
              <w:gridCol w:w="142"/>
              <w:gridCol w:w="368"/>
              <w:gridCol w:w="2553"/>
              <w:gridCol w:w="795"/>
            </w:tblGrid>
            <w:tr>
              <w:trPr/>
              <w:tc>
                <w:tcPr>
                  <w:tcW w:w="6134" w:type="dxa"/>
                  <w:gridSpan w:val="2"/>
                  <w:noWrap w:val="false"/>
                  <w:textDirection w:val="lrTb"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Первый заместитель Председателя Правительства Новосибирской области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rFonts w:cstheme="minorBid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cstheme="minorBidi"/>
                      <w:sz w:val="28"/>
                      <w:szCs w:val="28"/>
                      <w:lang w:eastAsia="en-US"/>
                    </w:rPr>
                  </w:r>
                  <w:r>
                    <w:rPr>
                      <w:rFonts w:cstheme="minorBid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48" w:type="dxa"/>
                  <w:gridSpan w:val="2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В.М.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Знатков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«___»________2024 г.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noWrap w:val="false"/>
                  <w:textDirection w:val="lrTb"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ind w:left="-67"/>
                    <w:jc w:val="both"/>
                    <w:rPr>
                      <w:rFonts w:eastAsiaTheme="minorHAnsi"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Заместитель Председателя Правительства Новосибирской области - министр финансов и налоговой политики Новосибирской области</w:t>
                  </w:r>
                  <w:r>
                    <w:rPr>
                      <w:bCs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eastAsiaTheme="minorHAnsi"/>
                      <w:bCs/>
                      <w:color w:val="000000"/>
                      <w:sz w:val="16"/>
                      <w:szCs w:val="16"/>
                      <w:lang w:eastAsia="en-US"/>
                    </w:rPr>
                  </w:r>
                </w:p>
                <w:p>
                  <w:pPr>
                    <w:ind w:left="-67"/>
                    <w:jc w:val="both"/>
                    <w:rPr>
                      <w:bCs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eastAsia="en-US"/>
                    </w:rPr>
                  </w:r>
                  <w:r>
                    <w:rPr>
                      <w:bCs/>
                      <w:color w:val="000000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48" w:type="dxa"/>
                  <w:gridSpan w:val="2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В.Ю. Голубенко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«___»________2024 г.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noWrap w:val="false"/>
                  <w:textDirection w:val="lrTb"/>
                </w:tcPr>
                <w:p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eastAsia="en-US"/>
                    </w:rPr>
                    <w:t xml:space="preserve">Министр юстиции Новосибирской области </w:t>
                  </w:r>
                  <w:r>
                    <w:rPr>
                      <w:bCs/>
                      <w:color w:val="000000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48" w:type="dxa"/>
                  <w:gridSpan w:val="2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Т.Н.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Деркач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«___»________2024 г.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48" w:type="dxa"/>
                  <w:gridSpan w:val="2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И.о. начальника контрольного управления Новосибирской области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48" w:type="dxa"/>
                  <w:gridSpan w:val="2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И.П. Швец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«___»________2024 г.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48" w:type="dxa"/>
                  <w:gridSpan w:val="2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Начальник отдела административного производства контрольного управления Новосибирской области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48" w:type="dxa"/>
                  <w:gridSpan w:val="2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Н.В. Грачева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«___»________2024 г.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48" w:type="dxa"/>
                  <w:gridSpan w:val="2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>
                <w:gridAfter w:val="1"/>
              </w:trPr>
              <w:tc>
                <w:tcPr>
                  <w:tcW w:w="5766" w:type="dxa"/>
                  <w:noWrap w:val="false"/>
                  <w:textDirection w:val="lrTb"/>
                </w:tcPr>
                <w:p>
                  <w:pP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2921" w:type="dxa"/>
                  <w:gridSpan w:val="2"/>
                  <w:noWrap w:val="false"/>
                  <w:textDirection w:val="lrTb"/>
                </w:tcPr>
                <w:p>
                  <w:pPr>
                    <w:jc w:val="right"/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</w:p>
              </w:tc>
            </w:tr>
          </w:tbl>
          <w:p>
            <w:pPr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/>
    <w:p/>
    <w:p/>
    <w:sectPr>
      <w:headerReference w:type="default" r:id="rId8"/>
      <w:footnotePr/>
      <w:endnotePr/>
      <w:type w:val="nextPage"/>
      <w:pgSz w:w="11906" w:h="16838" w:orient="portrait"/>
      <w:pgMar w:top="1134" w:right="567" w:bottom="96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59013210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</w:p>
    </w:sdtContent>
  </w:sdt>
  <w:p>
    <w:pPr>
      <w:pStyle w:val="6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84"/>
    <w:uiPriority w:val="99"/>
  </w:style>
  <w:style w:type="character" w:styleId="45">
    <w:name w:val="Footer Char"/>
    <w:basedOn w:val="678"/>
    <w:link w:val="686"/>
    <w:uiPriority w:val="99"/>
  </w:style>
  <w:style w:type="paragraph" w:styleId="46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6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77"/>
    <w:next w:val="67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77"/>
    <w:next w:val="67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77"/>
    <w:next w:val="67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77"/>
    <w:next w:val="67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77"/>
    <w:next w:val="67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77"/>
    <w:next w:val="67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77"/>
    <w:next w:val="67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77"/>
    <w:next w:val="67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682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table" w:styleId="683">
    <w:name w:val="Table Grid"/>
    <w:basedOn w:val="67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4">
    <w:name w:val="Header"/>
    <w:basedOn w:val="677"/>
    <w:link w:val="6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basedOn w:val="678"/>
    <w:link w:val="68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6">
    <w:name w:val="Footer"/>
    <w:basedOn w:val="677"/>
    <w:link w:val="6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basedOn w:val="678"/>
    <w:link w:val="68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8">
    <w:name w:val="Balloon Text"/>
    <w:basedOn w:val="677"/>
    <w:link w:val="68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9" w:customStyle="1">
    <w:name w:val="Текст выноски Знак"/>
    <w:basedOn w:val="678"/>
    <w:link w:val="68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revision>6</cp:revision>
  <dcterms:created xsi:type="dcterms:W3CDTF">2023-03-15T13:54:00Z</dcterms:created>
  <dcterms:modified xsi:type="dcterms:W3CDTF">2024-01-30T08:11:40Z</dcterms:modified>
</cp:coreProperties>
</file>