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0"/>
        <w:tblW w:w="0" w:type="auto"/>
        <w:tblInd w:w="48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71"/>
              <w:contextualSpacing/>
              <w:ind w:left="0" w:right="-75" w:firstLine="0"/>
              <w:jc w:val="center"/>
              <w:tabs>
                <w:tab w:val="left" w:pos="4961" w:leader="none"/>
              </w:tabs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 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1"/>
              <w:contextualSpacing/>
              <w:ind w:left="0" w:right="-75" w:firstLine="0"/>
              <w:jc w:val="center"/>
              <w:tabs>
                <w:tab w:val="left" w:pos="4961" w:leader="none"/>
              </w:tabs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контрольного управления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1"/>
              <w:contextualSpacing/>
              <w:ind w:left="0" w:right="-75" w:firstLine="0"/>
              <w:jc w:val="center"/>
              <w:tabs>
                <w:tab w:val="left" w:pos="4961" w:leader="none"/>
              </w:tabs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№__________-НПА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1"/>
        <w:jc w:val="center"/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  <w:t xml:space="preserve">СОСТАВ</w:t>
      </w: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r>
    </w:p>
    <w:p>
      <w:pPr>
        <w:pStyle w:val="871"/>
        <w:jc w:val="center"/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  <w:t xml:space="preserve">комиссии </w:t>
      </w: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</w: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pacing w:val="2"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b/>
          <w:bCs/>
          <w:spacing w:val="2"/>
          <w:sz w:val="28"/>
          <w:szCs w:val="28"/>
        </w:rPr>
        <w:outlineLvl w:val="0"/>
      </w:pP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pacing w:val="2"/>
          <w:sz w:val="28"/>
          <w:szCs w:val="28"/>
        </w:rPr>
        <w:outlineLvl w:val="0"/>
      </w:pP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  <w:r>
        <w:rPr>
          <w:b/>
          <w:bCs/>
          <w:spacing w:val="2"/>
          <w:sz w:val="28"/>
          <w:szCs w:val="28"/>
        </w:rPr>
      </w:r>
    </w:p>
    <w:tbl>
      <w:tblPr>
        <w:tblW w:w="9638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25"/>
        <w:gridCol w:w="5953"/>
      </w:tblGrid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Швец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Инта Петровна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заместитель начальника контрольного управления Новосибирской области, председатель комиссии;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Грачева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Наталья Владимировна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начальник отдела административного производства</w:t>
            </w:r>
            <w:r>
              <w:rPr>
                <w:sz w:val="26"/>
                <w:szCs w:val="26"/>
              </w:rPr>
              <w:t xml:space="preserve"> контрольного управления Новосибирской области, заместитель председателя комиссии;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Королева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Ирина Сергеевна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начальник отдела организационно-правовой и кадровой работы</w:t>
            </w:r>
            <w:r>
              <w:rPr>
                <w:sz w:val="26"/>
                <w:szCs w:val="26"/>
              </w:rPr>
              <w:t xml:space="preserve">, секретарь комиссии;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Авдюкова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Евгения Владимировна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начальник отдела контроля в сфере закупок контрольного управления Новосибирской области;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Долгих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Елена Владимировна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sz w:val="26"/>
                <w:szCs w:val="26"/>
                <w:highlight w:val="none"/>
              </w:rPr>
              <w:t xml:space="preserve">(по согласованию)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  <w:t xml:space="preserve">— 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советник отдела по профилактике коррупционных и иных правонарушений департамента организации управления и государственной гражданской службы, член комиссии</w:t>
            </w:r>
            <w:r>
              <w:rPr>
                <w:sz w:val="26"/>
                <w:szCs w:val="26"/>
                <w:highlight w:val="none"/>
              </w:rPr>
              <w:t xml:space="preserve"> (по согласованию);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Представитель (представители) научной организации и образовательного учреждения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член(ы) комиссии;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Представитель общественного совета при контрольном управлении Новосибирской области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согласованию)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—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95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</w:t>
            </w:r>
            <w:r>
              <w:rPr>
                <w:sz w:val="26"/>
                <w:szCs w:val="26"/>
              </w:rPr>
              <w:t xml:space="preserve">лен комиссии.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contextual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7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Ирина Сергеевна</dc:creator>
  <cp:keywords/>
  <dc:description/>
  <cp:revision>14</cp:revision>
  <dcterms:created xsi:type="dcterms:W3CDTF">2019-10-28T03:32:00Z</dcterms:created>
  <dcterms:modified xsi:type="dcterms:W3CDTF">2024-02-08T04:24:21Z</dcterms:modified>
</cp:coreProperties>
</file>