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5E" w:rsidRDefault="001270BE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</w:p>
    <w:p w:rsidR="008A015E" w:rsidRDefault="001270BE">
      <w:pPr>
        <w:pStyle w:val="af5"/>
        <w:spacing w:line="240" w:lineRule="auto"/>
      </w:pPr>
      <w:r>
        <w:t xml:space="preserve">МИНИСТЕРСТВО ЭКОНОМИЧЕСКОГО РАЗВИТИЯ </w:t>
      </w:r>
    </w:p>
    <w:p w:rsidR="008A015E" w:rsidRDefault="001270BE">
      <w:pPr>
        <w:pStyle w:val="af5"/>
        <w:spacing w:line="240" w:lineRule="auto"/>
      </w:pPr>
      <w:r>
        <w:t>НОВОСИБИРСКОЙ ОБЛАСТИ</w:t>
      </w:r>
    </w:p>
    <w:p w:rsidR="008A015E" w:rsidRDefault="008A015E">
      <w:pPr>
        <w:jc w:val="center"/>
        <w:rPr>
          <w:b/>
          <w:bCs/>
          <w:sz w:val="28"/>
          <w:szCs w:val="28"/>
        </w:rPr>
      </w:pPr>
    </w:p>
    <w:p w:rsidR="008A015E" w:rsidRDefault="001270BE">
      <w:pPr>
        <w:pStyle w:val="1"/>
      </w:pPr>
      <w:r>
        <w:t>ПРИКАЗ</w:t>
      </w:r>
    </w:p>
    <w:p w:rsidR="008A015E" w:rsidRDefault="008A015E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8A015E">
        <w:trPr>
          <w:trHeight w:val="114"/>
        </w:trPr>
        <w:tc>
          <w:tcPr>
            <w:tcW w:w="3652" w:type="dxa"/>
          </w:tcPr>
          <w:p w:rsidR="008A015E" w:rsidRDefault="001270BE">
            <w:pPr>
              <w:jc w:val="center"/>
            </w:pPr>
            <w:r>
              <w:rPr>
                <w:sz w:val="28"/>
              </w:rPr>
              <w:t>«___»___________2023 года</w:t>
            </w:r>
          </w:p>
        </w:tc>
        <w:tc>
          <w:tcPr>
            <w:tcW w:w="3379" w:type="dxa"/>
          </w:tcPr>
          <w:p w:rsidR="008A015E" w:rsidRDefault="008A0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8A015E" w:rsidRDefault="001270BE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8A015E">
        <w:trPr>
          <w:trHeight w:val="114"/>
        </w:trPr>
        <w:tc>
          <w:tcPr>
            <w:tcW w:w="3652" w:type="dxa"/>
          </w:tcPr>
          <w:p w:rsidR="008A015E" w:rsidRDefault="008A015E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015E" w:rsidRDefault="00127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015E" w:rsidRDefault="008A015E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015E" w:rsidRDefault="008A015E">
      <w:pPr>
        <w:pStyle w:val="1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8A015E" w:rsidRDefault="001270BE">
      <w:pPr>
        <w:pStyle w:val="13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 экономического развития Новосибирской области от 22.11.2022 № 173 «Об организации обработки персональных данных в министерстве экономического развития Новосибирской области»</w:t>
      </w: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1270B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3pt"/>
          <w:rFonts w:eastAsiaTheme="minorHAnsi"/>
          <w:b/>
          <w:color w:val="auto"/>
          <w:sz w:val="28"/>
          <w:szCs w:val="28"/>
        </w:rPr>
        <w:t>Приказываю: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Внести в приказ министерс</w:t>
      </w:r>
      <w:r>
        <w:rPr>
          <w:sz w:val="28"/>
          <w:szCs w:val="28"/>
        </w:rPr>
        <w:t>тва экономического развития Новосибирской области от 22.11.2022 № 173 «Об организации обработки персональных данных в министерстве экономического развития Новосибирской области» (в редакции приказа министерства экономического развития Новосибирской области</w:t>
      </w:r>
      <w:r>
        <w:rPr>
          <w:sz w:val="28"/>
          <w:szCs w:val="28"/>
        </w:rPr>
        <w:t xml:space="preserve"> от 06.02.2023 № 14) (далее – Приказ) следующие из</w:t>
      </w:r>
      <w:r>
        <w:rPr>
          <w:color w:val="000000" w:themeColor="text1"/>
          <w:sz w:val="28"/>
          <w:szCs w:val="28"/>
        </w:rPr>
        <w:t>менения: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Пункт 1 дополнить подпунктом 20 следующего содержания:</w:t>
      </w:r>
    </w:p>
    <w:p w:rsidR="008A015E" w:rsidRDefault="001270BE">
      <w:pPr>
        <w:pStyle w:val="13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«20) Типов</w:t>
      </w:r>
      <w:r w:rsidR="00E559D2">
        <w:rPr>
          <w:color w:val="000000" w:themeColor="text1"/>
          <w:sz w:val="28"/>
          <w:szCs w:val="28"/>
        </w:rPr>
        <w:t>ую</w:t>
      </w:r>
      <w:r>
        <w:rPr>
          <w:color w:val="000000" w:themeColor="text1"/>
          <w:sz w:val="28"/>
          <w:szCs w:val="28"/>
        </w:rPr>
        <w:t xml:space="preserve"> форм</w:t>
      </w:r>
      <w:r w:rsidR="00E559D2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 w:themeColor="text1"/>
          <w:sz w:val="28"/>
          <w:szCs w:val="28"/>
        </w:rPr>
        <w:t>согласия субъекта персональных данных на обработку персональных данных, разрешенных для распространения в министерстве э</w:t>
      </w:r>
      <w:r>
        <w:rPr>
          <w:color w:val="000000" w:themeColor="text1"/>
          <w:sz w:val="28"/>
          <w:szCs w:val="28"/>
        </w:rPr>
        <w:t>кономического развития Новосибирской области».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В приложении № 1 к Приказу «Правила обработки персональных данных в министерстве экономического развития Новосибирской области»: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 в подпункте 3 пункта 7 после слов «оценка вреда» дополнить словами «в соот</w:t>
      </w:r>
      <w:r>
        <w:rPr>
          <w:color w:val="000000" w:themeColor="text1"/>
          <w:sz w:val="28"/>
          <w:szCs w:val="28"/>
        </w:rPr>
        <w:t>ветствии с требованиями, установленными уполномоченным органом по защите прав субъектов персональных данных»</w:t>
      </w:r>
      <w:r>
        <w:rPr>
          <w:sz w:val="28"/>
          <w:szCs w:val="28"/>
        </w:rPr>
        <w:t>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 пункт 8 дополнить подпунктами 8, 9 следующего содержания: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«8) 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) контролем за принимаемыми мерами по обеспечению безопасности персональных данных и уровня защищенности информационных систем персональных данных.».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В приложении № 2 к Приказу «Правила рассмотрения запросов субъектов персональных данных или их представ</w:t>
      </w:r>
      <w:r>
        <w:rPr>
          <w:color w:val="000000" w:themeColor="text1"/>
          <w:sz w:val="28"/>
          <w:szCs w:val="28"/>
        </w:rPr>
        <w:t>ителей в министерстве экономического развития Новосибирской области»</w:t>
      </w:r>
      <w:r>
        <w:rPr>
          <w:sz w:val="28"/>
          <w:szCs w:val="28"/>
        </w:rPr>
        <w:t>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rFonts w:asciiTheme="minorHAnsi" w:eastAsiaTheme="minorHAnsi" w:hAnsiTheme="minorHAnsi" w:cstheme="minorBid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1) пункт 1 дополнить подпунктами 8.1, 8.2 следующего содержания: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rFonts w:asciiTheme="minorHAnsi" w:eastAsiaTheme="minorHAnsi" w:hAnsiTheme="minorHAnsi" w:cstheme="minorBid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«8.1) информацию об осуществленной или о предполагаемой трансграничной передаче данных»;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8.2) информацию о </w:t>
      </w:r>
      <w:r>
        <w:rPr>
          <w:color w:val="000000" w:themeColor="text1"/>
          <w:sz w:val="28"/>
          <w:szCs w:val="28"/>
        </w:rPr>
        <w:t>способах исполнения министерством обязанностей, установленных Федеральным законом «О персональных данных» и предусмотренных локальными нормативными актами министерства, принятыми во исполнение Федерального закона «О персональных данных»;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 пункт 4 изложит</w:t>
      </w:r>
      <w:r>
        <w:rPr>
          <w:sz w:val="28"/>
          <w:szCs w:val="28"/>
        </w:rPr>
        <w:t>ь в следующей редакции: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«4. Сведения, указанные в пункте 1 настоящих Правил, предоставляются субъекту персональных данных или его представителю министерством в течение десяти рабочих дней с момента обращения либо получения министерством запроса субъекта пе</w:t>
      </w:r>
      <w:r>
        <w:rPr>
          <w:sz w:val="28"/>
          <w:szCs w:val="28"/>
        </w:rPr>
        <w:t>рсональных данных или его представителя. Указанный срок может быть продлен, но не более чем на пять рабочих дней в случае направления министерством в адрес субъекта персональных данных мотивированного уведомления с указанием причин продления срока предоста</w:t>
      </w:r>
      <w:r>
        <w:rPr>
          <w:sz w:val="28"/>
          <w:szCs w:val="28"/>
        </w:rPr>
        <w:t xml:space="preserve">вления запрашиваемой информации. 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</w:t>
      </w:r>
      <w:r>
        <w:rPr>
          <w:sz w:val="28"/>
          <w:szCs w:val="28"/>
        </w:rPr>
        <w:t>астие субъекта персональных данных в отношениях с министерством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министерством, п</w:t>
      </w:r>
      <w:r>
        <w:rPr>
          <w:sz w:val="28"/>
          <w:szCs w:val="28"/>
        </w:rPr>
        <w:t xml:space="preserve">одпись субъекта персональных данных или его представителя. 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 Министерство предоставляет сведения, указанные в</w:t>
      </w:r>
      <w:r>
        <w:rPr>
          <w:sz w:val="28"/>
          <w:szCs w:val="28"/>
        </w:rPr>
        <w:t xml:space="preserve"> пункте 1 настоящих Правил,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запросе.»;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rFonts w:asciiTheme="minorHAnsi" w:eastAsiaTheme="minorHAnsi" w:hAnsiTheme="minorHAnsi" w:cstheme="minorBidi"/>
          <w:sz w:val="28"/>
          <w:szCs w:val="28"/>
        </w:rPr>
      </w:pPr>
      <w:r>
        <w:rPr>
          <w:color w:val="000000" w:themeColor="text1"/>
          <w:sz w:val="28"/>
          <w:szCs w:val="28"/>
        </w:rPr>
        <w:t>3) подпункты 1 и 2 пункта 8 изложить в следующей редакци</w:t>
      </w:r>
      <w:r>
        <w:rPr>
          <w:color w:val="000000" w:themeColor="text1"/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«1) министерство обязано сообщить в порядке, предусмотренном пунктами 1 - 7 настоящих Правил,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</w:t>
      </w:r>
      <w:r>
        <w:rPr>
          <w:sz w:val="28"/>
          <w:szCs w:val="28"/>
        </w:rPr>
        <w:t>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представителя. Указанны</w:t>
      </w:r>
      <w:r>
        <w:rPr>
          <w:sz w:val="28"/>
          <w:szCs w:val="28"/>
        </w:rPr>
        <w:t>й срок может быть продлен, но не более чем на пять рабочих дней в случае направления министерством в адрес субъекта персональных данных мотивированного уведомления с указанием причин продления срока предоставления запрашиваемой информации;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 в случае отка</w:t>
      </w:r>
      <w:r>
        <w:rPr>
          <w:sz w:val="28"/>
          <w:szCs w:val="28"/>
        </w:rPr>
        <w:t xml:space="preserve">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</w:t>
      </w:r>
      <w:r>
        <w:rPr>
          <w:sz w:val="28"/>
          <w:szCs w:val="28"/>
        </w:rPr>
        <w:lastRenderedPageBreak/>
        <w:t xml:space="preserve">либо при получении запроса субъекта персональных данных </w:t>
      </w:r>
      <w:r>
        <w:rPr>
          <w:sz w:val="28"/>
          <w:szCs w:val="28"/>
        </w:rPr>
        <w:t>или его представителя министерство обязано дать в письменной форме мотивированный ответ, с правовым обоснованием такого отказа, в срок, не превышающий десяти рабочих дней со дня обращения субъекта персональных данных или его представителя либо с даты получ</w:t>
      </w:r>
      <w:r>
        <w:rPr>
          <w:sz w:val="28"/>
          <w:szCs w:val="28"/>
        </w:rPr>
        <w:t xml:space="preserve">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министерством в адрес субъекта персональных данных мотивированного уведомления с указанием причин </w:t>
      </w:r>
      <w:r>
        <w:rPr>
          <w:sz w:val="28"/>
          <w:szCs w:val="28"/>
        </w:rPr>
        <w:t>продления срока предоставления запрашиваемой информации;».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4. Приложение № 5 к Приказу «</w:t>
      </w:r>
      <w:r>
        <w:rPr>
          <w:bCs/>
          <w:color w:val="000000"/>
          <w:sz w:val="28"/>
          <w:szCs w:val="28"/>
          <w:lang w:eastAsia="ru-RU"/>
        </w:rPr>
        <w:t>Перечень информационных систем и информации ограниченного доступа,</w:t>
      </w:r>
      <w:r>
        <w:rPr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>не содержащей сведений, составляющих государственную тайну,</w:t>
      </w:r>
      <w:r>
        <w:rPr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>эксплуатируемых в министерстве экономичес</w:t>
      </w:r>
      <w:r>
        <w:rPr>
          <w:bCs/>
          <w:color w:val="000000"/>
          <w:sz w:val="28"/>
          <w:szCs w:val="28"/>
          <w:lang w:eastAsia="ru-RU"/>
        </w:rPr>
        <w:t>кого</w:t>
      </w:r>
      <w:r>
        <w:rPr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 xml:space="preserve">развития Новосибирской области» </w:t>
      </w:r>
      <w:r>
        <w:rPr>
          <w:color w:val="000000" w:themeColor="text1"/>
          <w:sz w:val="28"/>
          <w:szCs w:val="28"/>
          <w:lang w:eastAsia="ru-RU"/>
        </w:rPr>
        <w:t>изложить в редакции согласно приложению № 1 к настоящему приказу.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 В пунктах 9 и 10 приложения № 8 к Приказу «Перечень должностей в министерстве экономического развития Новосибирской области, замещение которых предусм</w:t>
      </w:r>
      <w:r>
        <w:rPr>
          <w:color w:val="000000" w:themeColor="text1"/>
          <w:sz w:val="28"/>
          <w:szCs w:val="28"/>
        </w:rPr>
        <w:t>атривает осуществление обработки персональных данных либо осуществление доступа к персональным данными» слова «управления совершенствования государственного управления и правовой работы» заменить словами «управления совершенствования государственного управ</w:t>
      </w:r>
      <w:r>
        <w:rPr>
          <w:color w:val="000000" w:themeColor="text1"/>
          <w:sz w:val="28"/>
          <w:szCs w:val="28"/>
        </w:rPr>
        <w:t>ления и регуляторной политики».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6. Приложение № 11 к Приказу «</w:t>
      </w:r>
      <w:r>
        <w:rPr>
          <w:color w:val="000000" w:themeColor="text1"/>
          <w:sz w:val="28"/>
          <w:szCs w:val="28"/>
          <w:lang w:eastAsia="ru-RU"/>
        </w:rPr>
        <w:t>Типовая форма согласи</w:t>
      </w:r>
      <w:r>
        <w:rPr>
          <w:sz w:val="28"/>
          <w:szCs w:val="28"/>
          <w:highlight w:val="white"/>
          <w:lang w:eastAsia="ru-RU"/>
        </w:rPr>
        <w:t>я субъекта персональных данных на обработку персональных данных (для лиц, замещающих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должности, не относящиеся к должностям государственной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гражданской службы в министерстве</w:t>
      </w:r>
      <w:r>
        <w:rPr>
          <w:color w:val="000000" w:themeColor="text1"/>
          <w:sz w:val="28"/>
          <w:szCs w:val="28"/>
          <w:lang w:eastAsia="ru-RU"/>
        </w:rPr>
        <w:t xml:space="preserve"> экономического развития Новосибирской области)» изложить в редакции согласно приложению № 2 к настоящему приказу.</w:t>
      </w:r>
    </w:p>
    <w:p w:rsidR="008A015E" w:rsidRDefault="001270BE">
      <w:pPr>
        <w:pStyle w:val="aff4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white"/>
        </w:rPr>
        <w:t>7. Приложение № 12 к Приказу «</w:t>
      </w:r>
      <w:r>
        <w:rPr>
          <w:sz w:val="28"/>
          <w:szCs w:val="28"/>
        </w:rPr>
        <w:t>Типовая форма согласия субъекта персональных данных на обработку персональных данных (для лиц, замещающих должн</w:t>
      </w:r>
      <w:r>
        <w:rPr>
          <w:sz w:val="28"/>
          <w:szCs w:val="28"/>
        </w:rPr>
        <w:t>ости, не относящиеся к должностям государственной гражданской службы в министерстве экономического развития Новосибирской области)</w:t>
      </w:r>
      <w:r>
        <w:rPr>
          <w:sz w:val="28"/>
          <w:szCs w:val="28"/>
          <w:highlight w:val="white"/>
        </w:rPr>
        <w:t xml:space="preserve">» изложить в </w:t>
      </w:r>
      <w:r>
        <w:rPr>
          <w:color w:val="000000" w:themeColor="text1"/>
          <w:sz w:val="28"/>
          <w:szCs w:val="28"/>
        </w:rPr>
        <w:t xml:space="preserve">редакции согласно приложению № 3 к настоящему приказу. </w:t>
      </w:r>
    </w:p>
    <w:p w:rsidR="008A015E" w:rsidRDefault="001270BE">
      <w:pPr>
        <w:pStyle w:val="af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>
        <w:rPr>
          <w:sz w:val="28"/>
          <w:szCs w:val="28"/>
          <w:highlight w:val="white"/>
        </w:rPr>
        <w:t>Приложение № 13 к Приказу «</w:t>
      </w:r>
      <w:r>
        <w:rPr>
          <w:sz w:val="28"/>
          <w:szCs w:val="28"/>
        </w:rPr>
        <w:t>Типовая форма разъяснения с</w:t>
      </w:r>
      <w:r>
        <w:rPr>
          <w:sz w:val="28"/>
          <w:szCs w:val="28"/>
        </w:rPr>
        <w:t>убъекту персональных данных юридических последствий отказа предоставить свои персональные данные</w:t>
      </w:r>
      <w:r>
        <w:rPr>
          <w:sz w:val="28"/>
          <w:szCs w:val="28"/>
          <w:highlight w:val="white"/>
        </w:rPr>
        <w:t xml:space="preserve">» изложить в </w:t>
      </w:r>
      <w:r>
        <w:rPr>
          <w:sz w:val="28"/>
          <w:szCs w:val="28"/>
        </w:rPr>
        <w:t xml:space="preserve">редакции согласно приложению № 4 к настоящему приказу. 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9. В приложении № 15 к Приказу «Инструкция ответственного за организацию </w:t>
      </w:r>
      <w:r>
        <w:rPr>
          <w:color w:val="000000" w:themeColor="text1"/>
          <w:sz w:val="28"/>
          <w:szCs w:val="28"/>
        </w:rPr>
        <w:t>обработки персональных данных в министерстве экономического развития»: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пункт 5 дополнить подпунктом 4.1 следующего содержания: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«4.1) в порядке</w:t>
      </w:r>
      <w:r>
        <w:rPr>
          <w:sz w:val="28"/>
          <w:szCs w:val="28"/>
        </w:rPr>
        <w:t>, определенном федеральным органом исполнительной власти, уполномоченным в области обеспечения безопасности, об</w:t>
      </w:r>
      <w:r>
        <w:rPr>
          <w:sz w:val="28"/>
          <w:szCs w:val="28"/>
        </w:rPr>
        <w:t>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</w:t>
      </w:r>
      <w:r>
        <w:rPr>
          <w:sz w:val="28"/>
          <w:szCs w:val="28"/>
        </w:rPr>
        <w:t xml:space="preserve">чу (предоставление, </w:t>
      </w:r>
      <w:r>
        <w:rPr>
          <w:sz w:val="28"/>
          <w:szCs w:val="28"/>
        </w:rPr>
        <w:lastRenderedPageBreak/>
        <w:t>распространение, доступ) персональных данных;»;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 в подпункте 8 пункта 6 </w:t>
      </w:r>
      <w:r>
        <w:rPr>
          <w:color w:val="000000" w:themeColor="text1"/>
          <w:sz w:val="28"/>
          <w:szCs w:val="28"/>
        </w:rPr>
        <w:t>после слова «данных» дополнить словами «в</w:t>
      </w:r>
      <w:r>
        <w:rPr>
          <w:sz w:val="28"/>
          <w:szCs w:val="28"/>
          <w:highlight w:val="white"/>
        </w:rPr>
        <w:t xml:space="preserve"> случае обращения субъекта персональных данных к оператору с требованием о прекращении обработки персональных данных</w:t>
      </w:r>
      <w:r>
        <w:rPr>
          <w:color w:val="000000" w:themeColor="text1"/>
          <w:sz w:val="28"/>
          <w:szCs w:val="28"/>
        </w:rPr>
        <w:t>».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. В приложении № 16 к Приказу «Политика в отношении обработки персональных данных в министерстве экономического развития Новосибирской области»: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абзац «г» подпункта 2 пункта 3 изложить в следующей редакции:</w:t>
      </w:r>
    </w:p>
    <w:p w:rsidR="008A015E" w:rsidRDefault="001270BE">
      <w:pPr>
        <w:pStyle w:val="docdata"/>
        <w:widowControl w:val="0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rPr>
          <w:rStyle w:val="aff"/>
          <w:sz w:val="24"/>
          <w:szCs w:val="24"/>
        </w:rPr>
      </w:pPr>
      <w:r>
        <w:rPr>
          <w:color w:val="000000" w:themeColor="text1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г) сообщать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</w:t>
      </w:r>
      <w:r>
        <w:rPr>
          <w:sz w:val="28"/>
          <w:szCs w:val="28"/>
        </w:rPr>
        <w:t>Указанный срок может быть продлен, но не более чем на пять рабочих</w:t>
      </w:r>
      <w:r>
        <w:rPr>
          <w:sz w:val="28"/>
          <w:szCs w:val="28"/>
        </w:rPr>
        <w:t xml:space="preserve"> дней в случае направления министерством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информации;</w:t>
      </w:r>
      <w:r>
        <w:rPr>
          <w:color w:val="000000" w:themeColor="text1"/>
          <w:sz w:val="28"/>
          <w:szCs w:val="28"/>
        </w:rPr>
        <w:t>»;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rStyle w:val="aff"/>
          <w:sz w:val="28"/>
          <w:szCs w:val="28"/>
        </w:rPr>
      </w:pPr>
      <w:r>
        <w:rPr>
          <w:rStyle w:val="aff"/>
          <w:rFonts w:eastAsiaTheme="minorHAnsi"/>
          <w:sz w:val="28"/>
          <w:szCs w:val="28"/>
        </w:rPr>
        <w:t xml:space="preserve">2) пункт 4 дополнить абзацем «е» </w:t>
      </w:r>
      <w:r>
        <w:rPr>
          <w:rStyle w:val="aff"/>
          <w:rFonts w:eastAsiaTheme="minorHAnsi"/>
          <w:sz w:val="28"/>
          <w:szCs w:val="28"/>
        </w:rPr>
        <w:t>следующего содержания: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rStyle w:val="aff"/>
          <w:rFonts w:eastAsiaTheme="minorHAnsi"/>
          <w:sz w:val="28"/>
          <w:szCs w:val="28"/>
        </w:rPr>
        <w:t>«е) </w:t>
      </w:r>
      <w:r>
        <w:rPr>
          <w:color w:val="000000" w:themeColor="text1"/>
          <w:sz w:val="28"/>
          <w:szCs w:val="28"/>
        </w:rPr>
        <w:t xml:space="preserve">информацию о способах исполнения министерством обязанностей, установленных Федеральным законом «О персональных данных» и предусмотренных локальными нормативными актами министерства, принятыми во исполнение Федерального закона «О </w:t>
      </w:r>
      <w:r>
        <w:rPr>
          <w:color w:val="000000" w:themeColor="text1"/>
          <w:sz w:val="28"/>
          <w:szCs w:val="28"/>
        </w:rPr>
        <w:t>персональных данных»;»;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rStyle w:val="aff"/>
          <w:rFonts w:eastAsiaTheme="minorHAnsi"/>
          <w:sz w:val="28"/>
          <w:szCs w:val="28"/>
        </w:rPr>
      </w:pPr>
      <w:r>
        <w:rPr>
          <w:rStyle w:val="aff"/>
          <w:rFonts w:eastAsiaTheme="minorHAnsi"/>
          <w:sz w:val="28"/>
          <w:szCs w:val="28"/>
        </w:rPr>
        <w:t xml:space="preserve">3) наименование раздела </w:t>
      </w:r>
      <w:r>
        <w:rPr>
          <w:rStyle w:val="aff"/>
          <w:rFonts w:eastAsiaTheme="minorHAnsi"/>
          <w:sz w:val="28"/>
          <w:szCs w:val="28"/>
          <w:lang w:val="en-US"/>
        </w:rPr>
        <w:t>III</w:t>
      </w:r>
      <w:r>
        <w:rPr>
          <w:rStyle w:val="aff"/>
          <w:rFonts w:eastAsiaTheme="minorHAnsi"/>
          <w:sz w:val="28"/>
          <w:szCs w:val="28"/>
        </w:rPr>
        <w:t xml:space="preserve"> изложить в следующей редакции: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rStyle w:val="aff"/>
          <w:rFonts w:eastAsiaTheme="minorHAnsi"/>
          <w:sz w:val="28"/>
          <w:szCs w:val="28"/>
        </w:rPr>
        <w:t>«</w:t>
      </w:r>
      <w:r>
        <w:rPr>
          <w:rStyle w:val="aff"/>
          <w:rFonts w:eastAsiaTheme="minorHAnsi"/>
          <w:sz w:val="28"/>
          <w:szCs w:val="28"/>
          <w:lang w:val="en-US"/>
        </w:rPr>
        <w:t>III</w:t>
      </w:r>
      <w:r>
        <w:rPr>
          <w:rStyle w:val="aff"/>
          <w:rFonts w:eastAsiaTheme="minorHAnsi"/>
          <w:sz w:val="28"/>
          <w:szCs w:val="28"/>
        </w:rPr>
        <w:t>. Правовые основания обработки персональных данных»;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</w:rPr>
        <w:t>4) </w:t>
      </w:r>
      <w:r>
        <w:rPr>
          <w:sz w:val="28"/>
          <w:szCs w:val="28"/>
          <w:highlight w:val="white"/>
        </w:rPr>
        <w:t>пункт 19 дополнить подпунктом 7 следующего содержания: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«7) обращение субъекта персональных данных к оператору с т</w:t>
      </w:r>
      <w:r>
        <w:rPr>
          <w:sz w:val="28"/>
          <w:szCs w:val="28"/>
          <w:highlight w:val="white"/>
        </w:rPr>
        <w:t>ребованием о прекращении обработки персо</w:t>
      </w:r>
      <w:r>
        <w:rPr>
          <w:sz w:val="28"/>
          <w:szCs w:val="28"/>
        </w:rPr>
        <w:t>нальных данных.»;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 пункты 20 - 22 изложить в следующей редакции: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«20. Организация хранения персональных данных. 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Хранение персональных данных осуществляется в форме, позволяющей определить субъекта персональных дан</w:t>
      </w:r>
      <w:r>
        <w:rPr>
          <w:sz w:val="28"/>
          <w:szCs w:val="28"/>
        </w:rPr>
        <w:t>ных, не дольше, чем этого требуют цели обработки персональных данных, если срок хранения персональных данных не установлен законодательством Российской Федерации и (или) договором, стороной которого является субъект персональных данных. 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 Для организаци</w:t>
      </w:r>
      <w:r>
        <w:rPr>
          <w:sz w:val="28"/>
          <w:szCs w:val="28"/>
        </w:rPr>
        <w:t>и хранения персональных данных в случае автоматизированной обработки министерство в соответствии с частью 5 статьи 18 ФЗ «О персональных данных» использует сервера и другие технические устройства хранения данных, находящиеся на территории Российской Федера</w:t>
      </w:r>
      <w:r>
        <w:rPr>
          <w:sz w:val="28"/>
          <w:szCs w:val="28"/>
        </w:rPr>
        <w:t>ции. При обработке персональных данных без использования средств автоматизации хранение организовано в соответствии с требованиями Положения об особенностях обработки персональных данных, осуществляемой без использования средств автоматизации, утвержденног</w:t>
      </w:r>
      <w:r>
        <w:rPr>
          <w:sz w:val="28"/>
          <w:szCs w:val="28"/>
        </w:rPr>
        <w:t>о постановлением Правительства Российской Федерации от 15.09.2008 № 687 «Об утверждении Положения об особенностях обработки персональных данных, осуществляемой без использования средств автоматизации», а именно: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 министерством определены места хранения п</w:t>
      </w:r>
      <w:r>
        <w:rPr>
          <w:sz w:val="28"/>
          <w:szCs w:val="28"/>
        </w:rPr>
        <w:t xml:space="preserve">ерсональных данных (материальных носителей) и установлены перечни лиц, осуществляющих </w:t>
      </w:r>
      <w:r>
        <w:rPr>
          <w:sz w:val="28"/>
          <w:szCs w:val="28"/>
        </w:rPr>
        <w:lastRenderedPageBreak/>
        <w:t xml:space="preserve">обработку персональных </w:t>
      </w:r>
      <w:proofErr w:type="gramStart"/>
      <w:r>
        <w:rPr>
          <w:sz w:val="28"/>
          <w:szCs w:val="28"/>
        </w:rPr>
        <w:t>данных без использования средств автоматизации</w:t>
      </w:r>
      <w:proofErr w:type="gramEnd"/>
      <w:r>
        <w:rPr>
          <w:sz w:val="28"/>
          <w:szCs w:val="28"/>
        </w:rPr>
        <w:t xml:space="preserve"> либо имеющих к ним доступ;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 обеспечено раздельное хранение персональных данных (материальных носит</w:t>
      </w:r>
      <w:r>
        <w:rPr>
          <w:sz w:val="28"/>
          <w:szCs w:val="28"/>
        </w:rPr>
        <w:t>елей), обработка которых осуществляется в различных целях;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 министерством определен перечень лиц, ответственных за реализацию организационно-режимных мер, направленных на обеспечение сохранности персональных данных, обработка которых осуществляется без и</w:t>
      </w:r>
      <w:r>
        <w:rPr>
          <w:sz w:val="28"/>
          <w:szCs w:val="28"/>
        </w:rPr>
        <w:t>спользования средств автоматизации, и исключающих несанкционированный к ним доступ, и обеспечен контроль за их соблюдением.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 Оператор обязан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</w:t>
      </w:r>
      <w:r>
        <w:rPr>
          <w:sz w:val="28"/>
          <w:szCs w:val="28"/>
        </w:rPr>
        <w:t>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распространение, доступ) персональных данных.»;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6) пункт 24 изложить в следующей редакции: 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«24.</w:t>
      </w:r>
      <w:r>
        <w:rPr>
          <w:sz w:val="28"/>
          <w:szCs w:val="28"/>
        </w:rPr>
        <w:t> Уничтожение, прекращение персональных данных.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а также в случае отзыва согласия субъекта пер</w:t>
      </w:r>
      <w:r>
        <w:rPr>
          <w:sz w:val="28"/>
          <w:szCs w:val="28"/>
        </w:rPr>
        <w:t>сональных данных на обработку его персональных данных или в случ</w:t>
      </w:r>
      <w:r>
        <w:rPr>
          <w:sz w:val="28"/>
          <w:szCs w:val="28"/>
          <w:highlight w:val="white"/>
        </w:rPr>
        <w:t>ае выявления неправомерной обработки персональных данных, если иное не предусмотрено договором, стороной которого является субъект персональных данных, или иным соглашением между министерством</w:t>
      </w:r>
      <w:r>
        <w:rPr>
          <w:sz w:val="28"/>
          <w:szCs w:val="28"/>
          <w:highlight w:val="white"/>
        </w:rPr>
        <w:t xml:space="preserve"> и субъектом персональных данных. Подтверждение уничтожения персональных данных в случаях, предусмотренных настоящим пунктом, осуществляется в соответствии с требованиями, установленными уполномоченным органом по защите прав субъектов персональных данных.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обработк</w:t>
      </w:r>
      <w:r>
        <w:rPr>
          <w:sz w:val="28"/>
          <w:szCs w:val="28"/>
          <w:highlight w:val="white"/>
        </w:rPr>
        <w:t xml:space="preserve">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пунктами 2 - 11 части 1 статьи 6, частью 2 статьи 10 и частью 2 статьи 11 ФЗ «О </w:t>
      </w:r>
      <w:r>
        <w:rPr>
          <w:sz w:val="28"/>
          <w:szCs w:val="28"/>
          <w:highlight w:val="white"/>
        </w:rPr>
        <w:t>персональных данных».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</w:t>
      </w:r>
      <w:r>
        <w:rPr>
          <w:sz w:val="28"/>
          <w:szCs w:val="28"/>
          <w:highlight w:val="white"/>
        </w:rPr>
        <w:t>нформации.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министерство обязано с момента выявления такого инцидента ми</w:t>
      </w:r>
      <w:r>
        <w:rPr>
          <w:sz w:val="28"/>
          <w:szCs w:val="28"/>
          <w:highlight w:val="white"/>
        </w:rPr>
        <w:t xml:space="preserve">нистерством, уполномоченным органом по защите прав субъектов персональных данных или иным заинтересованным лицом </w:t>
      </w:r>
      <w:r>
        <w:rPr>
          <w:sz w:val="28"/>
          <w:szCs w:val="28"/>
          <w:highlight w:val="white"/>
        </w:rPr>
        <w:lastRenderedPageBreak/>
        <w:t>уведомить уполномоченный орган по защите прав субъектов персональных данных: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1) в течение двадцати четырех часов о произошедшем инциденте, о пр</w:t>
      </w:r>
      <w:r>
        <w:rPr>
          <w:sz w:val="28"/>
          <w:szCs w:val="28"/>
          <w:highlight w:val="white"/>
        </w:rPr>
        <w:t>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</w:t>
      </w:r>
      <w:r>
        <w:rPr>
          <w:sz w:val="28"/>
          <w:szCs w:val="28"/>
          <w:highlight w:val="white"/>
        </w:rPr>
        <w:t>ице, уполномоченном оператором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:rsidR="008A015E" w:rsidRDefault="001270BE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2) в течение семидесяти двух часов о результатах внутреннего расследования выявленного и</w:t>
      </w:r>
      <w:r>
        <w:rPr>
          <w:sz w:val="28"/>
          <w:szCs w:val="28"/>
          <w:highlight w:val="white"/>
        </w:rPr>
        <w:t>нцидента, а также предоставить сведения о лицах, действия которых стали причиной выявленного инцидента (при наличии).»</w:t>
      </w:r>
      <w:r>
        <w:rPr>
          <w:sz w:val="28"/>
          <w:szCs w:val="28"/>
        </w:rPr>
        <w:t>.</w:t>
      </w:r>
    </w:p>
    <w:p w:rsidR="008A015E" w:rsidRDefault="001270BE">
      <w:pPr>
        <w:pStyle w:val="13"/>
        <w:ind w:firstLine="709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11. </w:t>
      </w:r>
      <w:r>
        <w:rPr>
          <w:color w:val="000000" w:themeColor="text1"/>
          <w:sz w:val="28"/>
          <w:szCs w:val="28"/>
        </w:rPr>
        <w:t>Приказ д</w:t>
      </w:r>
      <w:r>
        <w:rPr>
          <w:color w:val="000000" w:themeColor="text1"/>
          <w:sz w:val="28"/>
          <w:szCs w:val="28"/>
          <w:lang w:eastAsia="ru-RU"/>
        </w:rPr>
        <w:t>ополнить</w:t>
      </w:r>
      <w:r>
        <w:rPr>
          <w:color w:val="000000" w:themeColor="text1"/>
          <w:sz w:val="28"/>
          <w:szCs w:val="28"/>
        </w:rPr>
        <w:t xml:space="preserve"> приложением</w:t>
      </w:r>
      <w:r>
        <w:rPr>
          <w:color w:val="000000" w:themeColor="text1"/>
          <w:sz w:val="28"/>
          <w:szCs w:val="28"/>
          <w:lang w:eastAsia="ru-RU"/>
        </w:rPr>
        <w:t xml:space="preserve"> № 20 «Типовая форма согласия субъекта персональных данных на обработку персональных данных, разрешенных</w:t>
      </w:r>
      <w:r>
        <w:rPr>
          <w:color w:val="000000" w:themeColor="text1"/>
          <w:sz w:val="28"/>
          <w:szCs w:val="28"/>
          <w:lang w:eastAsia="ru-RU"/>
        </w:rPr>
        <w:t xml:space="preserve"> для распространения в министерстве экономического развития Новосибирской области» в редакции согласно приложению № 5 к настоящему приказу.</w:t>
      </w: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127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Л.Н. Решетников</w:t>
      </w: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p w:rsidR="008A015E" w:rsidRDefault="001270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Г.Ю. Шевченко</w:t>
      </w:r>
    </w:p>
    <w:p w:rsidR="008A015E" w:rsidRDefault="001270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Мясникова</w:t>
      </w:r>
    </w:p>
    <w:p w:rsidR="008A015E" w:rsidRDefault="001270BE">
      <w:pPr>
        <w:rPr>
          <w:rFonts w:ascii="Times New Roman" w:hAnsi="Times New Roman" w:cs="Times New Roman"/>
          <w:sz w:val="20"/>
          <w:szCs w:val="20"/>
        </w:rPr>
        <w:sectPr w:rsidR="008A015E">
          <w:headerReference w:type="default" r:id="rId12"/>
          <w:pgSz w:w="11907" w:h="16840"/>
          <w:pgMar w:top="1134" w:right="567" w:bottom="1134" w:left="1418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238 67 09</w:t>
      </w:r>
    </w:p>
    <w:p w:rsidR="008A015E" w:rsidRDefault="001270BE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8A015E" w:rsidRDefault="008A015E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72" w:type="pct"/>
        <w:tblInd w:w="-142" w:type="dxa"/>
        <w:tblLook w:val="0000" w:firstRow="0" w:lastRow="0" w:firstColumn="0" w:lastColumn="0" w:noHBand="0" w:noVBand="0"/>
      </w:tblPr>
      <w:tblGrid>
        <w:gridCol w:w="5673"/>
        <w:gridCol w:w="4392"/>
      </w:tblGrid>
      <w:tr w:rsidR="008A015E">
        <w:tc>
          <w:tcPr>
            <w:tcW w:w="2818" w:type="pct"/>
          </w:tcPr>
          <w:p w:rsidR="008A015E" w:rsidRDefault="001270BE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управления финансовой, кадровой и организационной работы </w:t>
            </w:r>
          </w:p>
        </w:tc>
        <w:tc>
          <w:tcPr>
            <w:tcW w:w="2182" w:type="pct"/>
            <w:vAlign w:val="bottom"/>
          </w:tcPr>
          <w:p w:rsidR="008A015E" w:rsidRDefault="001270BE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Н.В. Тукмачева</w:t>
            </w:r>
          </w:p>
          <w:p w:rsidR="008A015E" w:rsidRDefault="001270BE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«___» __________ 2023 г.</w:t>
            </w:r>
          </w:p>
        </w:tc>
      </w:tr>
      <w:tr w:rsidR="008A015E">
        <w:tc>
          <w:tcPr>
            <w:tcW w:w="2818" w:type="pct"/>
          </w:tcPr>
          <w:p w:rsidR="008A015E" w:rsidRDefault="008A015E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015E" w:rsidRDefault="008A015E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015E" w:rsidRDefault="001270BE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2182" w:type="pct"/>
            <w:vAlign w:val="bottom"/>
          </w:tcPr>
          <w:p w:rsidR="008A015E" w:rsidRDefault="001270BE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Н.Г. Телегина</w:t>
            </w:r>
          </w:p>
          <w:p w:rsidR="008A015E" w:rsidRDefault="001270BE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«___» __________ 2023 г.</w:t>
            </w:r>
          </w:p>
        </w:tc>
      </w:tr>
    </w:tbl>
    <w:p w:rsidR="008A015E" w:rsidRDefault="008A015E">
      <w:pPr>
        <w:rPr>
          <w:rFonts w:ascii="Times New Roman" w:hAnsi="Times New Roman" w:cs="Times New Roman"/>
          <w:sz w:val="28"/>
          <w:szCs w:val="28"/>
        </w:rPr>
      </w:pPr>
    </w:p>
    <w:sectPr w:rsidR="008A015E">
      <w:pgSz w:w="11907" w:h="16840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BE" w:rsidRDefault="001270BE">
      <w:r>
        <w:separator/>
      </w:r>
    </w:p>
  </w:endnote>
  <w:endnote w:type="continuationSeparator" w:id="0">
    <w:p w:rsidR="001270BE" w:rsidRDefault="0012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BE" w:rsidRDefault="001270BE">
      <w:r>
        <w:separator/>
      </w:r>
    </w:p>
  </w:footnote>
  <w:footnote w:type="continuationSeparator" w:id="0">
    <w:p w:rsidR="001270BE" w:rsidRDefault="0012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597672590"/>
      <w:docPartObj>
        <w:docPartGallery w:val="Page Numbers (Top of Page)"/>
        <w:docPartUnique/>
      </w:docPartObj>
    </w:sdtPr>
    <w:sdtEndPr/>
    <w:sdtContent>
      <w:p w:rsidR="008A015E" w:rsidRDefault="001270BE">
        <w:pPr>
          <w:pStyle w:val="afb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59D2">
          <w:rPr>
            <w:rFonts w:ascii="Times New Roman" w:hAnsi="Times New Roman" w:cs="Times New Roman"/>
            <w:noProof/>
            <w:sz w:val="20"/>
            <w:szCs w:val="20"/>
          </w:rPr>
          <w:t>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4721D"/>
    <w:multiLevelType w:val="hybridMultilevel"/>
    <w:tmpl w:val="2CF87A70"/>
    <w:lvl w:ilvl="0" w:tplc="9A6A3AD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C32C125A">
      <w:start w:val="1"/>
      <w:numFmt w:val="decimal"/>
      <w:lvlText w:val=""/>
      <w:lvlJc w:val="left"/>
    </w:lvl>
    <w:lvl w:ilvl="2" w:tplc="6F8013CA">
      <w:start w:val="1"/>
      <w:numFmt w:val="decimal"/>
      <w:lvlText w:val=""/>
      <w:lvlJc w:val="left"/>
    </w:lvl>
    <w:lvl w:ilvl="3" w:tplc="ABB272A0">
      <w:start w:val="1"/>
      <w:numFmt w:val="decimal"/>
      <w:lvlText w:val=""/>
      <w:lvlJc w:val="left"/>
    </w:lvl>
    <w:lvl w:ilvl="4" w:tplc="CBD8DB38">
      <w:start w:val="1"/>
      <w:numFmt w:val="decimal"/>
      <w:lvlText w:val=""/>
      <w:lvlJc w:val="left"/>
    </w:lvl>
    <w:lvl w:ilvl="5" w:tplc="94146D00">
      <w:start w:val="1"/>
      <w:numFmt w:val="decimal"/>
      <w:lvlText w:val=""/>
      <w:lvlJc w:val="left"/>
    </w:lvl>
    <w:lvl w:ilvl="6" w:tplc="310858C6">
      <w:start w:val="1"/>
      <w:numFmt w:val="decimal"/>
      <w:lvlText w:val=""/>
      <w:lvlJc w:val="left"/>
    </w:lvl>
    <w:lvl w:ilvl="7" w:tplc="0868BEA6">
      <w:start w:val="1"/>
      <w:numFmt w:val="decimal"/>
      <w:lvlText w:val=""/>
      <w:lvlJc w:val="left"/>
    </w:lvl>
    <w:lvl w:ilvl="8" w:tplc="A1B06E90">
      <w:start w:val="1"/>
      <w:numFmt w:val="decimal"/>
      <w:lvlText w:val=""/>
      <w:lvlJc w:val="left"/>
    </w:lvl>
  </w:abstractNum>
  <w:abstractNum w:abstractNumId="1" w15:restartNumberingAfterBreak="0">
    <w:nsid w:val="3C2F1343"/>
    <w:multiLevelType w:val="hybridMultilevel"/>
    <w:tmpl w:val="47A4D33A"/>
    <w:lvl w:ilvl="0" w:tplc="0F80251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18F01C24">
      <w:start w:val="1"/>
      <w:numFmt w:val="decimal"/>
      <w:lvlText w:val=""/>
      <w:lvlJc w:val="left"/>
    </w:lvl>
    <w:lvl w:ilvl="2" w:tplc="D3446DEA">
      <w:start w:val="1"/>
      <w:numFmt w:val="decimal"/>
      <w:lvlText w:val=""/>
      <w:lvlJc w:val="left"/>
    </w:lvl>
    <w:lvl w:ilvl="3" w:tplc="0D12B746">
      <w:start w:val="1"/>
      <w:numFmt w:val="decimal"/>
      <w:lvlText w:val=""/>
      <w:lvlJc w:val="left"/>
    </w:lvl>
    <w:lvl w:ilvl="4" w:tplc="7D0493F0">
      <w:start w:val="1"/>
      <w:numFmt w:val="decimal"/>
      <w:lvlText w:val=""/>
      <w:lvlJc w:val="left"/>
    </w:lvl>
    <w:lvl w:ilvl="5" w:tplc="DDCA2D5E">
      <w:start w:val="1"/>
      <w:numFmt w:val="decimal"/>
      <w:lvlText w:val=""/>
      <w:lvlJc w:val="left"/>
    </w:lvl>
    <w:lvl w:ilvl="6" w:tplc="D278DA5C">
      <w:start w:val="1"/>
      <w:numFmt w:val="decimal"/>
      <w:lvlText w:val=""/>
      <w:lvlJc w:val="left"/>
    </w:lvl>
    <w:lvl w:ilvl="7" w:tplc="9EA47490">
      <w:start w:val="1"/>
      <w:numFmt w:val="decimal"/>
      <w:lvlText w:val=""/>
      <w:lvlJc w:val="left"/>
    </w:lvl>
    <w:lvl w:ilvl="8" w:tplc="2EA0FE96">
      <w:start w:val="1"/>
      <w:numFmt w:val="decimal"/>
      <w:lvlText w:val=""/>
      <w:lvlJc w:val="left"/>
    </w:lvl>
  </w:abstractNum>
  <w:abstractNum w:abstractNumId="2" w15:restartNumberingAfterBreak="0">
    <w:nsid w:val="476836B7"/>
    <w:multiLevelType w:val="hybridMultilevel"/>
    <w:tmpl w:val="AE8491D0"/>
    <w:lvl w:ilvl="0" w:tplc="45009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A83802">
      <w:start w:val="1"/>
      <w:numFmt w:val="lowerLetter"/>
      <w:lvlText w:val="%2."/>
      <w:lvlJc w:val="left"/>
      <w:pPr>
        <w:ind w:left="1440" w:hanging="360"/>
      </w:pPr>
    </w:lvl>
    <w:lvl w:ilvl="2" w:tplc="01545DC2">
      <w:start w:val="1"/>
      <w:numFmt w:val="lowerRoman"/>
      <w:lvlText w:val="%3."/>
      <w:lvlJc w:val="right"/>
      <w:pPr>
        <w:ind w:left="2160" w:hanging="180"/>
      </w:pPr>
    </w:lvl>
    <w:lvl w:ilvl="3" w:tplc="5D248A2C">
      <w:start w:val="1"/>
      <w:numFmt w:val="decimal"/>
      <w:lvlText w:val="%4."/>
      <w:lvlJc w:val="left"/>
      <w:pPr>
        <w:ind w:left="2880" w:hanging="360"/>
      </w:pPr>
    </w:lvl>
    <w:lvl w:ilvl="4" w:tplc="3AFE733A">
      <w:start w:val="1"/>
      <w:numFmt w:val="lowerLetter"/>
      <w:lvlText w:val="%5."/>
      <w:lvlJc w:val="left"/>
      <w:pPr>
        <w:ind w:left="3600" w:hanging="360"/>
      </w:pPr>
    </w:lvl>
    <w:lvl w:ilvl="5" w:tplc="F9387374">
      <w:start w:val="1"/>
      <w:numFmt w:val="lowerRoman"/>
      <w:lvlText w:val="%6."/>
      <w:lvlJc w:val="right"/>
      <w:pPr>
        <w:ind w:left="4320" w:hanging="180"/>
      </w:pPr>
    </w:lvl>
    <w:lvl w:ilvl="6" w:tplc="BB74F646">
      <w:start w:val="1"/>
      <w:numFmt w:val="decimal"/>
      <w:lvlText w:val="%7."/>
      <w:lvlJc w:val="left"/>
      <w:pPr>
        <w:ind w:left="5040" w:hanging="360"/>
      </w:pPr>
    </w:lvl>
    <w:lvl w:ilvl="7" w:tplc="935CB112">
      <w:start w:val="1"/>
      <w:numFmt w:val="lowerLetter"/>
      <w:lvlText w:val="%8."/>
      <w:lvlJc w:val="left"/>
      <w:pPr>
        <w:ind w:left="5760" w:hanging="360"/>
      </w:pPr>
    </w:lvl>
    <w:lvl w:ilvl="8" w:tplc="B01231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E0EF9"/>
    <w:multiLevelType w:val="hybridMultilevel"/>
    <w:tmpl w:val="243EE8FE"/>
    <w:lvl w:ilvl="0" w:tplc="05D03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EBE40">
      <w:start w:val="1"/>
      <w:numFmt w:val="lowerLetter"/>
      <w:lvlText w:val="%2."/>
      <w:lvlJc w:val="left"/>
      <w:pPr>
        <w:ind w:left="1440" w:hanging="360"/>
      </w:pPr>
    </w:lvl>
    <w:lvl w:ilvl="2" w:tplc="0F30FF6A">
      <w:start w:val="1"/>
      <w:numFmt w:val="lowerRoman"/>
      <w:lvlText w:val="%3."/>
      <w:lvlJc w:val="right"/>
      <w:pPr>
        <w:ind w:left="2160" w:hanging="180"/>
      </w:pPr>
    </w:lvl>
    <w:lvl w:ilvl="3" w:tplc="390C01BC">
      <w:start w:val="1"/>
      <w:numFmt w:val="decimal"/>
      <w:lvlText w:val="%4."/>
      <w:lvlJc w:val="left"/>
      <w:pPr>
        <w:ind w:left="2880" w:hanging="360"/>
      </w:pPr>
    </w:lvl>
    <w:lvl w:ilvl="4" w:tplc="DB200016">
      <w:start w:val="1"/>
      <w:numFmt w:val="lowerLetter"/>
      <w:lvlText w:val="%5."/>
      <w:lvlJc w:val="left"/>
      <w:pPr>
        <w:ind w:left="3600" w:hanging="360"/>
      </w:pPr>
    </w:lvl>
    <w:lvl w:ilvl="5" w:tplc="B5E6DA7A">
      <w:start w:val="1"/>
      <w:numFmt w:val="lowerRoman"/>
      <w:lvlText w:val="%6."/>
      <w:lvlJc w:val="right"/>
      <w:pPr>
        <w:ind w:left="4320" w:hanging="180"/>
      </w:pPr>
    </w:lvl>
    <w:lvl w:ilvl="6" w:tplc="2C1EDAF8">
      <w:start w:val="1"/>
      <w:numFmt w:val="decimal"/>
      <w:lvlText w:val="%7."/>
      <w:lvlJc w:val="left"/>
      <w:pPr>
        <w:ind w:left="5040" w:hanging="360"/>
      </w:pPr>
    </w:lvl>
    <w:lvl w:ilvl="7" w:tplc="0420C2AC">
      <w:start w:val="1"/>
      <w:numFmt w:val="lowerLetter"/>
      <w:lvlText w:val="%8."/>
      <w:lvlJc w:val="left"/>
      <w:pPr>
        <w:ind w:left="5760" w:hanging="360"/>
      </w:pPr>
    </w:lvl>
    <w:lvl w:ilvl="8" w:tplc="DBACFF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23184"/>
    <w:multiLevelType w:val="hybridMultilevel"/>
    <w:tmpl w:val="9BACA476"/>
    <w:lvl w:ilvl="0" w:tplc="ADB0E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F441FA">
      <w:start w:val="1"/>
      <w:numFmt w:val="lowerLetter"/>
      <w:lvlText w:val="%2."/>
      <w:lvlJc w:val="left"/>
      <w:pPr>
        <w:ind w:left="1440" w:hanging="360"/>
      </w:pPr>
    </w:lvl>
    <w:lvl w:ilvl="2" w:tplc="7DB8A28C">
      <w:start w:val="1"/>
      <w:numFmt w:val="lowerRoman"/>
      <w:lvlText w:val="%3."/>
      <w:lvlJc w:val="right"/>
      <w:pPr>
        <w:ind w:left="2160" w:hanging="180"/>
      </w:pPr>
    </w:lvl>
    <w:lvl w:ilvl="3" w:tplc="4306CFCE">
      <w:start w:val="1"/>
      <w:numFmt w:val="decimal"/>
      <w:lvlText w:val="%4."/>
      <w:lvlJc w:val="left"/>
      <w:pPr>
        <w:ind w:left="2880" w:hanging="360"/>
      </w:pPr>
    </w:lvl>
    <w:lvl w:ilvl="4" w:tplc="BE00A526">
      <w:start w:val="1"/>
      <w:numFmt w:val="lowerLetter"/>
      <w:lvlText w:val="%5."/>
      <w:lvlJc w:val="left"/>
      <w:pPr>
        <w:ind w:left="3600" w:hanging="360"/>
      </w:pPr>
    </w:lvl>
    <w:lvl w:ilvl="5" w:tplc="4CA237C0">
      <w:start w:val="1"/>
      <w:numFmt w:val="lowerRoman"/>
      <w:lvlText w:val="%6."/>
      <w:lvlJc w:val="right"/>
      <w:pPr>
        <w:ind w:left="4320" w:hanging="180"/>
      </w:pPr>
    </w:lvl>
    <w:lvl w:ilvl="6" w:tplc="43AC9790">
      <w:start w:val="1"/>
      <w:numFmt w:val="decimal"/>
      <w:lvlText w:val="%7."/>
      <w:lvlJc w:val="left"/>
      <w:pPr>
        <w:ind w:left="5040" w:hanging="360"/>
      </w:pPr>
    </w:lvl>
    <w:lvl w:ilvl="7" w:tplc="0EA42B48">
      <w:start w:val="1"/>
      <w:numFmt w:val="lowerLetter"/>
      <w:lvlText w:val="%8."/>
      <w:lvlJc w:val="left"/>
      <w:pPr>
        <w:ind w:left="5760" w:hanging="360"/>
      </w:pPr>
    </w:lvl>
    <w:lvl w:ilvl="8" w:tplc="B0FE8D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3682A"/>
    <w:multiLevelType w:val="hybridMultilevel"/>
    <w:tmpl w:val="BE38DE34"/>
    <w:lvl w:ilvl="0" w:tplc="0FA23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E7C3C72">
      <w:start w:val="1"/>
      <w:numFmt w:val="lowerLetter"/>
      <w:lvlText w:val="%2."/>
      <w:lvlJc w:val="left"/>
      <w:pPr>
        <w:ind w:left="1789" w:hanging="360"/>
      </w:pPr>
    </w:lvl>
    <w:lvl w:ilvl="2" w:tplc="587C294E">
      <w:start w:val="1"/>
      <w:numFmt w:val="lowerRoman"/>
      <w:lvlText w:val="%3."/>
      <w:lvlJc w:val="right"/>
      <w:pPr>
        <w:ind w:left="2509" w:hanging="180"/>
      </w:pPr>
    </w:lvl>
    <w:lvl w:ilvl="3" w:tplc="F69A0A04">
      <w:start w:val="1"/>
      <w:numFmt w:val="decimal"/>
      <w:lvlText w:val="%4."/>
      <w:lvlJc w:val="left"/>
      <w:pPr>
        <w:ind w:left="3229" w:hanging="360"/>
      </w:pPr>
    </w:lvl>
    <w:lvl w:ilvl="4" w:tplc="A42CAE46">
      <w:start w:val="1"/>
      <w:numFmt w:val="lowerLetter"/>
      <w:lvlText w:val="%5."/>
      <w:lvlJc w:val="left"/>
      <w:pPr>
        <w:ind w:left="3949" w:hanging="360"/>
      </w:pPr>
    </w:lvl>
    <w:lvl w:ilvl="5" w:tplc="43B25106">
      <w:start w:val="1"/>
      <w:numFmt w:val="lowerRoman"/>
      <w:lvlText w:val="%6."/>
      <w:lvlJc w:val="right"/>
      <w:pPr>
        <w:ind w:left="4669" w:hanging="180"/>
      </w:pPr>
    </w:lvl>
    <w:lvl w:ilvl="6" w:tplc="DFC8B84E">
      <w:start w:val="1"/>
      <w:numFmt w:val="decimal"/>
      <w:lvlText w:val="%7."/>
      <w:lvlJc w:val="left"/>
      <w:pPr>
        <w:ind w:left="5389" w:hanging="360"/>
      </w:pPr>
    </w:lvl>
    <w:lvl w:ilvl="7" w:tplc="00E0D32C">
      <w:start w:val="1"/>
      <w:numFmt w:val="lowerLetter"/>
      <w:lvlText w:val="%8."/>
      <w:lvlJc w:val="left"/>
      <w:pPr>
        <w:ind w:left="6109" w:hanging="360"/>
      </w:pPr>
    </w:lvl>
    <w:lvl w:ilvl="8" w:tplc="E70A2F6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5E"/>
    <w:rsid w:val="001270BE"/>
    <w:rsid w:val="008A015E"/>
    <w:rsid w:val="00E5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58C6"/>
  <w15:docId w15:val="{87B6565B-747B-4439-98EF-41C4EE86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4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4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4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Body Text"/>
    <w:basedOn w:val="a"/>
    <w:link w:val="af6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7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</w:style>
  <w:style w:type="character" w:styleId="aff">
    <w:name w:val="annotation reference"/>
    <w:basedOn w:val="a0"/>
    <w:unhideWhenUsed/>
    <w:rPr>
      <w:sz w:val="16"/>
      <w:szCs w:val="16"/>
    </w:rPr>
  </w:style>
  <w:style w:type="paragraph" w:styleId="aff0">
    <w:name w:val="annotation text"/>
    <w:basedOn w:val="a"/>
    <w:link w:val="aff1"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Стиль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01F06-AE5D-4C0A-BF0A-37EE0E10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2219</Words>
  <Characters>12650</Characters>
  <Application>Microsoft Office Word</Application>
  <DocSecurity>0</DocSecurity>
  <Lines>105</Lines>
  <Paragraphs>29</Paragraphs>
  <ScaleCrop>false</ScaleCrop>
  <Company>mineconom</Company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Антонова Екатерина Александровна</cp:lastModifiedBy>
  <cp:revision>176</cp:revision>
  <dcterms:created xsi:type="dcterms:W3CDTF">2023-02-06T01:58:00Z</dcterms:created>
  <dcterms:modified xsi:type="dcterms:W3CDTF">2023-05-31T03:58:00Z</dcterms:modified>
</cp:coreProperties>
</file>