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right"/>
        <w:spacing w:after="0" w:line="240" w:lineRule="auto"/>
        <w:tabs>
          <w:tab w:val="left" w:pos="5954" w:leader="none"/>
        </w:tabs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  <w:t xml:space="preserve">Проект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ind w:left="5954"/>
        <w:jc w:val="right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  <w:t xml:space="preserve">постановления Правительства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ind w:left="5954"/>
        <w:jc w:val="right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  <w:t xml:space="preserve">Новосибирской области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spacing w:after="0" w:line="240" w:lineRule="auto"/>
        <w:tabs>
          <w:tab w:val="left" w:pos="938" w:leader="none"/>
        </w:tabs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938" w:leader="none"/>
        </w:tabs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938" w:leader="none"/>
        </w:tabs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938" w:leader="none"/>
        </w:tabs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внесении изменений в постановление Правительства Новосибирской области от 01.04.2015 № 126-п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P1515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Прави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постановление Правительства Новосибирской области от  01.04.2015 № 126-п «О государственной программе Новосибирской области «Стимулирование инвестиционной активности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приложении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 «Порядок предоставления субсидии из областного бюджета Новосибирской области на финансовое обеспечение деятельности Регионального центра компетенций в сфере производительности труда»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в 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 слова «о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«от 25.10.2023 № 1782 «Об утверждении общих требований к нормативным правовым актам, муниципальным правовым актам, регулирующим предоставление из бюдж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етов субъектов Российской Федерации, местных бюджетов субсидий, в том числе грантов в форме субсидий, юриди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8" w:right="-2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708" w:right="-2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едином налоговом счете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РЦК отсутствует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не превышает размер,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определенный пунктом 3 статьи 47 Налогового кодекса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задолженность по уплате налогов, сборов и страховых взносов в бюджеты бюджетной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системы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слов «Министерством финансов Российской Федерации» дополнить словами «(далее – Минфин России)»;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708" w:right="-2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подпунктами 6, 7, 8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«6)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ненахождение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РЦК не должен являться иностранным агентом в соответствии с Федеральным законом «О контроле за деятельностью лиц, находящихся под иностранным влиянием;»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ненахождение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пунк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 Информация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(в разделе единого портала) в порядке, установленном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Минфином России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абзац первый пункта 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слов «уполномоченное им лицо» дополнить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 числа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последнего месяца года,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едшествующего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году получения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 пункте 9 слова «20 декабря» заменить словами «25 декабря»;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подпункт 2 пункта 14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несоответствие представленных РЦК документов требованиям, определенным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8 Порядка, или их непредставление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(представление не в полном объеме)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(кроме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запрашиваемых в форме межведомственного взаимодействия)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в абзаце втором пункта 15 слова «Министерством финансов Российской Федерации, министерством финансов и налоговой политики Новосибирской области»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Минфином России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министерством финансов и налоговой политики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МФиНП НСО)»;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в подпункте 7 пункта 16 слова «с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министерством финансов и налоговой политики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МФиНП НСО)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МФиНП НСО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подпункте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пункта 21: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абзац «б»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реализованы проекты по повышению производительности труда на предприятиях - участниках национального проекта по направлению «Бережливое производство» с помощью созданной региональной инфраструктуры обеспечения повышения производительности труда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«Значения результатов предоставления субсидии устанавливаются соглашениями о предоставлении субсидии;»;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«22. РЦК представляет в МЭР НСО: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 о достижении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третьего рабочего дня месяца, следующего за отчетным месяцем;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 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ежеквартально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10 рабочего дня месяца, следующего за отчетным кварталом;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отчет о реализации пл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достижению результатов предоставления субсидии (контрольных точек)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ежеквартально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10 рабочего дня месяца, следующего за отчетным кварталом;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 о достижении показателей, необходимых для достижения результатов предоставления субсидии,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третьего рабочего дня месяца, следующего за отчетным месяцем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Отчеты, предусмотренные настоящим пунктом, представляются по форме, предусмотренной типовой формой соглашения, определенной в соответствии с требованиями пункта 15 Порядка.»;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дополнить пунктом 22.1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«22.1.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МЭР НСО осуществляет проверку и принятие отчетов, предусмотренных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22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срок, не превышающий трех рабочих дней со дня, следующего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 днем представления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РЦК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МЭР НСО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таких отчетов.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завершении финансового года после принятия отчетов, установленных пунктом 22 Порядка,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МЭР НСО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срок не позднее 15 рабочего дня со дня их принятия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направляет в РЦК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 об исполнении обязательств по соглашению.»;</w:t>
      </w:r>
      <w:r>
        <w:rPr>
          <w:highlight w:val="white"/>
        </w:rPr>
      </w:r>
      <w:r>
        <w:rPr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12) абзац третий пункта 23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МЭР НСО,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Минфин России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отношении субсидии, предоставленной из областного бюджета Новосибирской области, источником финансового обеспечения которой являются субсидии из федерального бюджета) и МФиНП НСО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отношении субсидии, предоставленной из областного бюджета Новосибирской области, источником финансового обеспечения которой являются средства областного бюджета Новосибирской области) с 01.01.2023 проводят мониторинг дости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ставления субсидии (контрольная точка), в порядке и по формам, которые установлены Минфином России.»</w:t>
      </w:r>
      <w:r>
        <w:rPr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абзац первый пункта 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слов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денежные средства, полученные в счет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,»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включая средства, полученные на основании договоров, заключенных с РЦК,»;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пунктом 27 следующего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27. 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При реорганизации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РЦК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м в соглашении юридического лица, являющегося правопреемником.</w:t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реорганизации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РЦК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 форме разделения, выделения, а также при его ликвидации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соглашение расто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РЦК обязательствах, источником финансового обеспечения которых явля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ется субсидия, и возврате неиспользованного остатка субсидии в областной бюджет Новосибирской области.»;</w:t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highlight w:val="white"/>
          <w14:ligatures w14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явление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редакции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1 к настоящему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приложении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 «Порядок предоставления субсидии из областного бюджета Новосибирской области на возмещение затрат, связанных с деятельностью Регионального центра компетенций в сфере производительности труда»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в 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 слова «о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«от 25.10.2023 № 1782 «Об утверждении общих требований к нормативным правовым актам, муниципальным правовым актам, регулирующим предоставление из бюдж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етов субъектов Российской Федерации, местных бюджетов субсидий, в том числе грантов в форме субсидий, юриди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8" w:right="-2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708" w:right="-2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едином налоговом счете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РЦК отсутствует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не превышает размер,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определенный пунктом 3 статьи 47 Налогового кодекса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задолженность по уплате налогов, сборов и страховых взносов в бюджеты бюджетной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системы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8" w:right="-2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слов «Министерством финансов Российской Федерации»  дополнить словами «(далее – Минфин России)»;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708" w:right="-2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подпунктами 6, 7, 8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«6)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ненахождение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РЦК не должен являться иностранным агентом в соответствии с Федеральным законом «О контроле за деятельностью лиц, находящихся под иностранным влиянием;»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ненахождение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«6.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(в разделе единого портала) в порядке, установленном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Минфином России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абзац первый пункта 10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слов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«уполномоченное им лицо» дополнить словами «не позднее 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числа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последнего месяца года,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едшествующего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году получения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2 пункта 14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несоответствие представленных РЦК документов требованиям, определенным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10 Порядка, или их непредставление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(представление не в полном объеме) (кроме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запрашиваемых в форме межведомственного взаимодействия);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втором пункта 15 слова «Министерством финансов Российской Федерации, министерством финансов и налоговой политики Новосибирской области»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Минфином России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министерством финансов и налоговой политики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МФиНП НСО)»;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подпункте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пункта 21: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абзац «б»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реализованы проекты по повышению производительности труда на предприятиях - участниках национального проекта по направлению «Бережливое производство» с помощью созданной региональной инфраструктуры обеспечения повышения производительности труда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«Значения результатов предоставления субсидии устанавливаются соглашениями о предоставлении субсидии;»;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«22. РЦК представляет в МЭР НСО: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 о достижении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третьего рабочего дня месяца, следующего за отчетным месяцем;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 о достижении показателей, необходимых для достижения результатов предоставления субсидии,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третьего рабочего дня месяца, следующего за отчетным месяцем;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отчет о реализации пл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достижению результатов предоставления субсидии (контрольных точек)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ежеквартально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10 рабочего дня месяца, следующего за отчетным кварталом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Отчет, предусмотренный подпунктом 3 настоящего пункта, представляется РЦК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случае, проведения мониторинга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остижения результатов предоставления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пунктом 23 Порядка.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Отчеты, предусмотренные настоящим пунктом, представляются по форме, предусмотренной типовой формой соглашения, определенной в соответствии с требованиями пункта 15 Порядка.»;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 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ополнить пунктом 22.1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«22.1.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МЭР НСО осуществляет проверку и принятие отчетов, предусмотренных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22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срок, не превышающий трех рабочих дней со дня, следующего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 днем представления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РЦК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МЭР НСО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таких отчетов.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завершении финансового года после принятия отчетов, установленных пунктом 22 Порядка,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МЭР НСО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срок не позднее 15 рабочего дня со дня их принятия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направляет в РЦК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акт об исполнении обязательств по соглашению.»;</w:t>
      </w:r>
      <w:r>
        <w:rPr>
          <w:highlight w:val="white"/>
        </w:rPr>
      </w:r>
      <w:r>
        <w:rPr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 абзац третий пункта 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МЭР НСО,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Минфин России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отношении субсидии, предоставленной из областного бюджета Новосибирской области, источником финансового обеспечения которой являются субсидии из федерального бюджета) и МФиНП НСО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(в отношении субсидии, предоставленной из областного бюджета Новосибирской области, источником финансового обеспечения которой являются средства областного бюджета Новосибирской области) с 01.01.2023 проводят мониторинг дости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ставления субсидии (контр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ольная точка), в порядке и по формам, которые установлены Минфином России. При наличии достигнутого результата предоставления субсидии и (или) единовременном предоставлении субсидии мониторинг достижения результатов предоставления субсидии не проводится.»;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пунктом 25 следующего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При реорганизации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РЦК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м в соглашении юридического лица, являющегося правопреемником.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реорганизации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РЦК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 форме разделения, выделения, а также при его ликвидации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соглашение расто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РЦК обязательствах, источником финансового обеспечения которых явля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ется субсидия, и возврате неиспользованного остатка субсидии в областной бюджет Новосибирской области.»;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right="-2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явление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редакции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2 к настоящему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732"/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Губернатор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А.А. Травников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1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0"/>
          <w:szCs w:val="20"/>
          <w:highlight w:val="white"/>
          <w:lang w:eastAsia="en-US"/>
        </w:rPr>
        <w:t xml:space="preserve">Л.Н. Решетников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92"/>
        <w:rPr>
          <w:rFonts w:ascii="Times New Roman" w:hAnsi="Times New Roman" w:cs="Times New Roman" w:eastAsiaTheme="minorHAnsi"/>
          <w:sz w:val="20"/>
          <w:szCs w:val="20"/>
          <w:highlight w:val="white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 w:eastAsiaTheme="minorHAnsi"/>
          <w:sz w:val="20"/>
          <w:szCs w:val="20"/>
          <w:highlight w:val="white"/>
          <w:lang w:eastAsia="en-US"/>
        </w:rPr>
        <w:t xml:space="preserve">238 67 55</w:t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</w:r>
      <w:r>
        <w:rPr>
          <w:rFonts w:ascii="Times New Roman" w:hAnsi="Times New Roman" w:cs="Times New Roman" w:eastAsiaTheme="minorHAnsi"/>
          <w:sz w:val="20"/>
          <w:szCs w:val="20"/>
          <w:highlight w:val="white"/>
        </w:rPr>
      </w:r>
    </w:p>
    <w:p>
      <w:pPr>
        <w:pStyle w:val="892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0"/>
          <w:szCs w:val="20"/>
          <w:highlight w:val="whit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21"/>
        <w:gridCol w:w="4700"/>
      </w:tblGrid>
      <w:tr>
        <w:trPr/>
        <w:tc>
          <w:tcPr>
            <w:tcW w:w="52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В.М.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Знатков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52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В.Ю. Голубенко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52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инистр экономического развития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Л.Н. Решетников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52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Министр юстиции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700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Т.Н.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Деркач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«___»_________2024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0403155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890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2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7"/>
    <w:link w:val="876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5"/>
    <w:next w:val="875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7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7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7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7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7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7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5"/>
    <w:next w:val="875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7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7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7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7"/>
    <w:link w:val="890"/>
    <w:uiPriority w:val="99"/>
  </w:style>
  <w:style w:type="character" w:styleId="729">
    <w:name w:val="Footer Char"/>
    <w:basedOn w:val="877"/>
    <w:link w:val="892"/>
    <w:uiPriority w:val="99"/>
  </w:style>
  <w:style w:type="paragraph" w:styleId="730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92"/>
    <w:uiPriority w:val="99"/>
  </w:style>
  <w:style w:type="table" w:styleId="732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7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7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link w:val="89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5"/>
    <w:uiPriority w:val="34"/>
    <w:qFormat/>
    <w:pPr>
      <w:contextualSpacing/>
      <w:ind w:left="720"/>
    </w:pPr>
  </w:style>
  <w:style w:type="paragraph" w:styleId="88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82">
    <w:name w:val="Hyperlink"/>
    <w:basedOn w:val="877"/>
    <w:uiPriority w:val="99"/>
    <w:unhideWhenUsed/>
    <w:rPr>
      <w:color w:val="0563c1" w:themeColor="hyperlink"/>
      <w:u w:val="single"/>
    </w:rPr>
  </w:style>
  <w:style w:type="character" w:styleId="883">
    <w:name w:val="annotation reference"/>
    <w:basedOn w:val="877"/>
    <w:uiPriority w:val="99"/>
    <w:semiHidden/>
    <w:unhideWhenUsed/>
    <w:rPr>
      <w:sz w:val="16"/>
      <w:szCs w:val="16"/>
    </w:rPr>
  </w:style>
  <w:style w:type="paragraph" w:styleId="884">
    <w:name w:val="annotation text"/>
    <w:basedOn w:val="875"/>
    <w:link w:val="88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5" w:customStyle="1">
    <w:name w:val="Текст примечания Знак"/>
    <w:basedOn w:val="877"/>
    <w:link w:val="884"/>
    <w:uiPriority w:val="99"/>
    <w:semiHidden/>
    <w:rPr>
      <w:sz w:val="20"/>
      <w:szCs w:val="20"/>
    </w:rPr>
  </w:style>
  <w:style w:type="paragraph" w:styleId="886">
    <w:name w:val="Balloon Text"/>
    <w:basedOn w:val="875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77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>
    <w:name w:val="annotation subject"/>
    <w:basedOn w:val="884"/>
    <w:next w:val="884"/>
    <w:link w:val="889"/>
    <w:uiPriority w:val="99"/>
    <w:semiHidden/>
    <w:unhideWhenUsed/>
    <w:rPr>
      <w:b/>
      <w:bCs/>
    </w:rPr>
  </w:style>
  <w:style w:type="character" w:styleId="889" w:customStyle="1">
    <w:name w:val="Тема примечания Знак"/>
    <w:basedOn w:val="885"/>
    <w:link w:val="888"/>
    <w:uiPriority w:val="99"/>
    <w:semiHidden/>
    <w:rPr>
      <w:b/>
      <w:bCs/>
      <w:sz w:val="20"/>
      <w:szCs w:val="20"/>
    </w:rPr>
  </w:style>
  <w:style w:type="paragraph" w:styleId="890">
    <w:name w:val="Header"/>
    <w:basedOn w:val="875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77"/>
    <w:link w:val="890"/>
    <w:uiPriority w:val="99"/>
  </w:style>
  <w:style w:type="paragraph" w:styleId="892">
    <w:name w:val="Footer"/>
    <w:basedOn w:val="875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Нижний колонтитул Знак"/>
    <w:basedOn w:val="877"/>
    <w:link w:val="892"/>
    <w:uiPriority w:val="99"/>
  </w:style>
  <w:style w:type="paragraph" w:styleId="89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9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6" w:customStyle="1">
    <w:name w:val="Заголовок 1 Знак"/>
    <w:basedOn w:val="877"/>
    <w:link w:val="87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31C0-6395-4396-B056-32A9C5F7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revision>121</cp:revision>
  <dcterms:created xsi:type="dcterms:W3CDTF">2022-06-16T11:08:00Z</dcterms:created>
  <dcterms:modified xsi:type="dcterms:W3CDTF">2024-02-02T07:19:17Z</dcterms:modified>
</cp:coreProperties>
</file>