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ind w:left="5812"/>
        <w:jc w:val="center"/>
        <w:outlineLvl w:val="1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1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off"/>
        <w:spacing w:after="0" w:line="240" w:lineRule="auto"/>
        <w:ind w:left="5812"/>
        <w:jc w:val="center"/>
        <w:outlineLvl w:val="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567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субсидии из областного бюджета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финансовое 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центра компетенций в сфере производительности труда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субсидии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Прошу предоставить_______________________________________________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субсидию из областного бюджета Новосибирской области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/>
          <w:sz w:val="28"/>
          <w:highlight w:val="white"/>
        </w:rPr>
        <w:t xml:space="preserve">фина</w:t>
      </w:r>
      <w:r>
        <w:rPr>
          <w:rFonts w:ascii="Times New Roman" w:hAnsi="Times New Roman"/>
          <w:sz w:val="28"/>
          <w:highlight w:val="white"/>
        </w:rPr>
        <w:t xml:space="preserve">нсовое обеспечение деятельности Р</w:t>
      </w:r>
      <w:r>
        <w:rPr>
          <w:rFonts w:ascii="Times New Roman" w:hAnsi="Times New Roman"/>
          <w:sz w:val="28"/>
          <w:highlight w:val="white"/>
        </w:rPr>
        <w:t xml:space="preserve">егионального центра компетенций в сфере производительности труда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Фамилия, имя, отчество (последнее – при наличии) и должность руководителя организации__________________________________________________________________________________________________________________________________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Адрес, телефон, факс, e-mail 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Реквизиты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bookmarkStart w:id="0" w:name="undefined"/>
      <w:bookmarkEnd w:id="0"/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ИНН__________________________________________________________________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КПП__________________________________________________________________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ОКТМО___________________________________________________________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Расчетный счет 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Корреспондентский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чет_________________________________________________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банка 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 Настоящим подтверждаю, что по состоянию на первое число месяца,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предшествующего месяцу, </w:t>
      </w:r>
      <w:r>
        <w:rPr>
          <w:rFonts w:ascii="Times New Roman" w:hAnsi="Times New Roman"/>
          <w:sz w:val="28"/>
          <w:szCs w:val="28"/>
          <w:lang w:eastAsia="ru-RU"/>
        </w:rPr>
        <w:t xml:space="preserve">в котором планируется предоставление субсидии в отношении 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left="0" w:right="0"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едином налоговом счете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отсутствует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не превышает размер,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определенный пунктом 3 статьи 47 Налогового кодекса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задолженность по уплате налогов, сборов и страховых взносов в бюджеты бюджетной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системы Российской Федерации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отсутствует просроченная задолженность по возврату в областной бюджет Новосибирской области субсидий, бюджетных инвестиций и иные просроченные задолженности перед Новосибирской областью.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left="0" w:right="0"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>
        <w:rPr>
          <w:rFonts w:ascii="Times New Roman" w:hAnsi="Times New Roman"/>
          <w:sz w:val="28"/>
          <w:szCs w:val="28"/>
        </w:rPr>
        <w:t xml:space="preserve">Региональн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компетенций в сфере производительности труда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 xml:space="preserve">РЦК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другого юридического лица), ликвидации, в отношении него не введена процедура банкротства, деятельность РЦК не приостановлена в порядке,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</w:t>
      </w:r>
      <w:r>
        <w:rPr>
          <w:rFonts w:ascii="Times New Roman" w:hAnsi="Times New Roman"/>
          <w:sz w:val="28"/>
          <w:szCs w:val="28"/>
        </w:rPr>
        <w:t xml:space="preserve">включенн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</w:t>
      </w:r>
      <w:r>
        <w:rPr>
          <w:rFonts w:ascii="Times New Roman" w:hAnsi="Times New Roman"/>
          <w:sz w:val="28"/>
          <w:szCs w:val="28"/>
        </w:rPr>
        <w:t xml:space="preserve">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Новосибирской области на основании иных нормативных правовых актов Новосибирской области на цели, установленные Порядком предоставления субсидии из областного бюджета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</w:rPr>
        <w:t xml:space="preserve">финансовое обеспечение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центра компетенций в сфере производительности труда;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находится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находится в составляемых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 В соответствии с требованиями </w:t>
      </w:r>
      <w:r>
        <w:rPr>
          <w:rFonts w:ascii="Times New Roman" w:hAnsi="Times New Roman"/>
          <w:sz w:val="28"/>
          <w:szCs w:val="28"/>
        </w:rPr>
        <w:t xml:space="preserve">предоставления субсидии из областного бюджета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финансовое 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центра компетенций в сфере производительности труд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прилагаю документы на ___ л.</w:t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Гарантирую достоверность информации, представленной в заявлении о предоставлении 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Выражаю согласие на публикацию (размещение)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 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0"/>
          <w:szCs w:val="20"/>
        </w:rPr>
        <w:t xml:space="preserve"> (наименование юридического лица)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подаваемом заявлении, иной информации, связанной с предоставлением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В случае предоставления субсидии 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0"/>
          <w:szCs w:val="20"/>
        </w:rPr>
        <w:t xml:space="preserve"> (наименование юридического лица)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принимаю обязательство по представлению в налоговый орган согласия на </w:t>
      </w:r>
      <w:r>
        <w:rPr>
          <w:rFonts w:ascii="Times New Roman" w:hAnsi="Times New Roman"/>
          <w:sz w:val="28"/>
          <w:szCs w:val="28"/>
        </w:rPr>
        <w:t xml:space="preserve">представление налоговым органом сведений о налогоплательщике (плательщике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страховых взносов), составляющих налоговую тайну, министерству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Новосибирской области по форме, утвержденной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Федеральной налоговой службы от 14.11.2022 № ЕД-7-19/1085@ «Об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документов, предусмотренных подпунктом 1 пункта 1 и пунктом 2.3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статьи 102 Налогового кодекса Российской Федерации».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Подпись руководителя      _________________ 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юридического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лица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(подпись, дата)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(расшифровка подписи)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М.П. (при наличии печати)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widowControl w:val="off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получения заявления 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(заполняется министерством экономического развития 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Новосибирской области)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0403155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882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2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  <w:p>
    <w:pPr>
      <w:pStyle w:val="8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9"/>
    <w:link w:val="868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7"/>
    <w:next w:val="867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9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7"/>
    <w:next w:val="867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9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7"/>
    <w:next w:val="867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9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7"/>
    <w:next w:val="867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9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7"/>
    <w:next w:val="867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9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7"/>
    <w:next w:val="867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9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7"/>
    <w:next w:val="867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7"/>
    <w:next w:val="867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9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82"/>
    <w:uiPriority w:val="99"/>
  </w:style>
  <w:style w:type="character" w:styleId="721">
    <w:name w:val="Footer Char"/>
    <w:basedOn w:val="869"/>
    <w:link w:val="884"/>
    <w:uiPriority w:val="99"/>
  </w:style>
  <w:style w:type="paragraph" w:styleId="72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84"/>
    <w:uiPriority w:val="99"/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7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8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9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60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1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2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3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4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1"/>
    <w:basedOn w:val="867"/>
    <w:link w:val="88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List Paragraph"/>
    <w:basedOn w:val="867"/>
    <w:uiPriority w:val="34"/>
    <w:qFormat/>
    <w:pPr>
      <w:ind w:left="720"/>
      <w:contextualSpacing/>
    </w:pPr>
  </w:style>
  <w:style w:type="paragraph" w:styleId="873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874">
    <w:name w:val="Hyperlink"/>
    <w:basedOn w:val="869"/>
    <w:uiPriority w:val="99"/>
    <w:unhideWhenUsed/>
    <w:rPr>
      <w:color w:val="0563c1" w:themeColor="hyperlink"/>
      <w:u w:val="single"/>
    </w:rPr>
  </w:style>
  <w:style w:type="character" w:styleId="875">
    <w:name w:val="annotation reference"/>
    <w:basedOn w:val="869"/>
    <w:uiPriority w:val="99"/>
    <w:semiHidden/>
    <w:unhideWhenUsed/>
    <w:rPr>
      <w:sz w:val="16"/>
      <w:szCs w:val="16"/>
    </w:rPr>
  </w:style>
  <w:style w:type="paragraph" w:styleId="876">
    <w:name w:val="annotation text"/>
    <w:basedOn w:val="867"/>
    <w:link w:val="8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869"/>
    <w:link w:val="876"/>
    <w:uiPriority w:val="99"/>
    <w:semiHidden/>
    <w:rPr>
      <w:sz w:val="20"/>
      <w:szCs w:val="20"/>
    </w:rPr>
  </w:style>
  <w:style w:type="paragraph" w:styleId="878">
    <w:name w:val="Balloon Text"/>
    <w:basedOn w:val="867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69"/>
    <w:link w:val="878"/>
    <w:uiPriority w:val="99"/>
    <w:semiHidden/>
    <w:rPr>
      <w:rFonts w:ascii="Segoe UI" w:hAnsi="Segoe UI" w:cs="Segoe UI"/>
      <w:sz w:val="18"/>
      <w:szCs w:val="18"/>
    </w:rPr>
  </w:style>
  <w:style w:type="paragraph" w:styleId="880">
    <w:name w:val="annotation subject"/>
    <w:basedOn w:val="876"/>
    <w:next w:val="876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7"/>
    <w:link w:val="880"/>
    <w:uiPriority w:val="99"/>
    <w:semiHidden/>
    <w:rPr>
      <w:b/>
      <w:bCs/>
      <w:sz w:val="20"/>
      <w:szCs w:val="20"/>
    </w:rPr>
  </w:style>
  <w:style w:type="paragraph" w:styleId="882">
    <w:name w:val="Header"/>
    <w:basedOn w:val="867"/>
    <w:link w:val="88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3" w:customStyle="1">
    <w:name w:val="Верхний колонтитул Знак"/>
    <w:basedOn w:val="869"/>
    <w:link w:val="882"/>
    <w:uiPriority w:val="99"/>
  </w:style>
  <w:style w:type="paragraph" w:styleId="884">
    <w:name w:val="Footer"/>
    <w:basedOn w:val="867"/>
    <w:link w:val="88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5" w:customStyle="1">
    <w:name w:val="Нижний колонтитул Знак"/>
    <w:basedOn w:val="869"/>
    <w:link w:val="884"/>
    <w:uiPriority w:val="99"/>
  </w:style>
  <w:style w:type="paragraph" w:styleId="886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87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8" w:customStyle="1">
    <w:name w:val="Заголовок 1 Знак"/>
    <w:basedOn w:val="869"/>
    <w:link w:val="86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31C0-6395-4396-B056-32A9C5F7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revision>88</cp:revision>
  <dcterms:created xsi:type="dcterms:W3CDTF">2022-06-16T11:08:00Z</dcterms:created>
  <dcterms:modified xsi:type="dcterms:W3CDTF">2024-01-31T05:12:19Z</dcterms:modified>
</cp:coreProperties>
</file>