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6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66"/>
        <w:rPr>
          <w:szCs w:val="28"/>
        </w:rPr>
      </w:pPr>
      <w:r>
        <w:rPr>
          <w:szCs w:val="28"/>
        </w:rPr>
        <w:t xml:space="preserve">МИНИСТЕРСТВО ЭКОНОМИЧЕСКОГО РАЗВИТИЯ </w:t>
      </w:r>
      <w:r>
        <w:rPr>
          <w:szCs w:val="28"/>
        </w:rPr>
      </w:r>
      <w:r>
        <w:rPr>
          <w:szCs w:val="28"/>
        </w:rPr>
      </w:r>
    </w:p>
    <w:p>
      <w:pPr>
        <w:pStyle w:val="866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848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848"/>
        <w:rPr>
          <w:b/>
          <w:spacing w:val="-2"/>
        </w:rPr>
      </w:pPr>
      <w:r>
        <w:rPr>
          <w:b/>
          <w:spacing w:val="-2"/>
        </w:rPr>
        <w:t xml:space="preserve">ФИНАНСОВО-ЭКОНОМИЧЕСКОЕ ОБОСНОВАНИЕ</w:t>
      </w: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84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pStyle w:val="847"/>
        <w:ind w:left="10" w:hanging="10"/>
        <w:jc w:val="center"/>
        <w:spacing w:line="322" w:lineRule="exact"/>
        <w:shd w:val="clear" w:color="auto" w:fill="ffffff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к проекту постановления Правительства Новосибирской области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pStyle w:val="847"/>
        <w:ind w:firstLine="2"/>
        <w:jc w:val="center"/>
        <w:tabs>
          <w:tab w:val="left" w:pos="1276" w:leader="none"/>
        </w:tabs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«О внесении изменений в постановление Правительства Новосибирской области от 01.04.2015 №</w:t>
      </w:r>
      <w:r>
        <w:rPr>
          <w:b/>
          <w:bCs/>
          <w:spacing w:val="-2"/>
          <w:sz w:val="28"/>
        </w:rPr>
        <w:t xml:space="preserve"> </w:t>
      </w:r>
      <w:r>
        <w:rPr>
          <w:b/>
          <w:bCs/>
          <w:spacing w:val="-2"/>
          <w:sz w:val="28"/>
        </w:rPr>
        <w:t xml:space="preserve">126-п»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pStyle w:val="84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pStyle w:val="847"/>
        <w:jc w:val="both"/>
        <w:tabs>
          <w:tab w:val="left" w:pos="-666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47"/>
        <w:ind w:firstLine="699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Принятие постановления </w:t>
      </w:r>
      <w:r>
        <w:rPr>
          <w:bCs/>
          <w:sz w:val="28"/>
        </w:rPr>
        <w:t xml:space="preserve">Правительства </w:t>
      </w:r>
      <w:r>
        <w:rPr>
          <w:bCs/>
          <w:sz w:val="28"/>
          <w:szCs w:val="28"/>
        </w:rPr>
        <w:t xml:space="preserve">Новосибирской области «</w:t>
      </w:r>
      <w:r>
        <w:rPr>
          <w:bCs/>
          <w:sz w:val="28"/>
        </w:rPr>
        <w:t xml:space="preserve">О внесении изменений в постановление Правительства Новосибирской области от 01.04.2015 № 126-п»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потребует дополнительных финансовых затрат из областного бюджета Новосибирской области</w:t>
      </w:r>
      <w:r>
        <w:rPr>
          <w:spacing w:val="-2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Л.Н. Решетников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</w:pPr>
      <w:r/>
      <w:r/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  <w:szCs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  <w:t xml:space="preserve">Вишнякова Е.А.</w:t>
      </w:r>
      <w:r>
        <w:rPr>
          <w:sz w:val="22"/>
        </w:rPr>
      </w:r>
      <w:r>
        <w:rPr>
          <w:sz w:val="22"/>
        </w:rPr>
      </w:r>
    </w:p>
    <w:p>
      <w:pPr>
        <w:pStyle w:val="847"/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  <w:t xml:space="preserve">238-67-5</w:t>
      </w:r>
      <w:r>
        <w:rPr>
          <w:sz w:val="22"/>
        </w:rPr>
        <w:t xml:space="preserve">5</w:t>
      </w: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both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1"/>
    <w:basedOn w:val="847"/>
    <w:next w:val="847"/>
    <w:link w:val="852"/>
    <w:qFormat/>
    <w:pPr>
      <w:jc w:val="center"/>
      <w:keepNext/>
      <w:outlineLvl w:val="0"/>
    </w:pPr>
    <w:rPr>
      <w:sz w:val="2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character" w:styleId="852">
    <w:name w:val="Заголовок 1 Знак"/>
    <w:next w:val="852"/>
    <w:link w:val="848"/>
    <w:rPr>
      <w:sz w:val="28"/>
      <w:szCs w:val="24"/>
      <w:lang w:val="ru-RU" w:eastAsia="ru-RU" w:bidi="ar-SA"/>
    </w:rPr>
  </w:style>
  <w:style w:type="paragraph" w:styleId="853">
    <w:name w:val="ConsPlusCell"/>
    <w:next w:val="853"/>
    <w:link w:val="847"/>
    <w:uiPriority w:val="99"/>
    <w:rPr>
      <w:rFonts w:eastAsia="Calibri"/>
      <w:sz w:val="28"/>
      <w:szCs w:val="28"/>
      <w:lang w:val="ru-RU" w:eastAsia="en-US" w:bidi="ar-SA"/>
    </w:rPr>
  </w:style>
  <w:style w:type="paragraph" w:styleId="854">
    <w:name w:val="ConsPlusNormal"/>
    <w:next w:val="854"/>
    <w:link w:val="847"/>
    <w:rPr>
      <w:sz w:val="28"/>
      <w:szCs w:val="28"/>
      <w:lang w:val="ru-RU" w:eastAsia="ru-RU" w:bidi="ar-SA"/>
    </w:rPr>
  </w:style>
  <w:style w:type="character" w:styleId="855">
    <w:name w:val="Знак примечания"/>
    <w:next w:val="855"/>
    <w:link w:val="847"/>
    <w:rPr>
      <w:sz w:val="16"/>
      <w:szCs w:val="16"/>
    </w:rPr>
  </w:style>
  <w:style w:type="paragraph" w:styleId="856">
    <w:name w:val="Текст примечания"/>
    <w:basedOn w:val="847"/>
    <w:next w:val="856"/>
    <w:link w:val="857"/>
    <w:rPr>
      <w:sz w:val="20"/>
      <w:szCs w:val="20"/>
    </w:rPr>
  </w:style>
  <w:style w:type="character" w:styleId="857">
    <w:name w:val="Текст примечания Знак"/>
    <w:basedOn w:val="849"/>
    <w:next w:val="857"/>
    <w:link w:val="856"/>
  </w:style>
  <w:style w:type="paragraph" w:styleId="858">
    <w:name w:val="Тема примечания"/>
    <w:basedOn w:val="856"/>
    <w:next w:val="856"/>
    <w:link w:val="859"/>
    <w:rPr>
      <w:b/>
      <w:bCs/>
    </w:rPr>
  </w:style>
  <w:style w:type="character" w:styleId="859">
    <w:name w:val="Тема примечания Знак"/>
    <w:next w:val="859"/>
    <w:link w:val="858"/>
    <w:rPr>
      <w:b/>
      <w:bCs/>
    </w:rPr>
  </w:style>
  <w:style w:type="paragraph" w:styleId="860">
    <w:name w:val="Текст выноски"/>
    <w:basedOn w:val="847"/>
    <w:next w:val="860"/>
    <w:link w:val="861"/>
    <w:rPr>
      <w:rFonts w:ascii="Tahoma" w:hAnsi="Tahoma" w:cs="Tahoma"/>
      <w:sz w:val="16"/>
      <w:szCs w:val="16"/>
    </w:rPr>
  </w:style>
  <w:style w:type="character" w:styleId="861">
    <w:name w:val="Текст выноски Знак"/>
    <w:next w:val="861"/>
    <w:link w:val="860"/>
    <w:rPr>
      <w:rFonts w:ascii="Tahoma" w:hAnsi="Tahoma" w:cs="Tahoma"/>
      <w:sz w:val="16"/>
      <w:szCs w:val="16"/>
    </w:rPr>
  </w:style>
  <w:style w:type="paragraph" w:styleId="862">
    <w:name w:val="Верхний колонтитул"/>
    <w:basedOn w:val="847"/>
    <w:next w:val="862"/>
    <w:link w:val="863"/>
    <w:pPr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rPr>
      <w:sz w:val="24"/>
      <w:szCs w:val="24"/>
    </w:rPr>
  </w:style>
  <w:style w:type="paragraph" w:styleId="864">
    <w:name w:val="Нижний колонтитул"/>
    <w:basedOn w:val="847"/>
    <w:next w:val="864"/>
    <w:link w:val="865"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rPr>
      <w:sz w:val="24"/>
      <w:szCs w:val="24"/>
    </w:rPr>
  </w:style>
  <w:style w:type="paragraph" w:styleId="866">
    <w:name w:val="Основной текст 3"/>
    <w:basedOn w:val="847"/>
    <w:next w:val="866"/>
    <w:link w:val="867"/>
    <w:pPr>
      <w:jc w:val="center"/>
      <w:shd w:val="clear" w:color="auto" w:fill="ffffff"/>
    </w:pPr>
    <w:rPr>
      <w:rFonts w:eastAsia="Calibri"/>
      <w:b/>
      <w:bCs/>
      <w:sz w:val="28"/>
    </w:rPr>
  </w:style>
  <w:style w:type="character" w:styleId="867">
    <w:name w:val="Основной текст 3 Знак"/>
    <w:next w:val="867"/>
    <w:link w:val="866"/>
    <w:rPr>
      <w:rFonts w:eastAsia="Calibri"/>
      <w:b/>
      <w:bCs/>
      <w:sz w:val="28"/>
      <w:szCs w:val="24"/>
      <w:shd w:val="clear" w:color="auto" w:fill="ffffff"/>
    </w:rPr>
  </w:style>
  <w:style w:type="table" w:styleId="868">
    <w:name w:val="Сетка таблицы"/>
    <w:basedOn w:val="850"/>
    <w:next w:val="868"/>
    <w:link w:val="847"/>
    <w:tblPr/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</dc:title>
  <dc:creator>volpn</dc:creator>
  <cp:keywords>Волокитин П.Н.</cp:keywords>
  <cp:revision>66</cp:revision>
  <dcterms:created xsi:type="dcterms:W3CDTF">2019-05-29T11:01:00Z</dcterms:created>
  <dcterms:modified xsi:type="dcterms:W3CDTF">2023-12-11T07:48:21Z</dcterms:modified>
  <cp:version>1048576</cp:version>
</cp:coreProperties>
</file>