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38" w:rsidRPr="00031613" w:rsidRDefault="006B4938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 xml:space="preserve">ПРИЛОЖЕНИЕ </w:t>
      </w:r>
      <w:r w:rsidR="00BF37BB">
        <w:rPr>
          <w:rFonts w:eastAsia="Calibri"/>
          <w:szCs w:val="28"/>
          <w:lang w:eastAsia="en-US"/>
        </w:rPr>
        <w:t>№ </w:t>
      </w:r>
      <w:r w:rsidR="00BE74D4">
        <w:rPr>
          <w:rFonts w:eastAsia="Calibri"/>
          <w:szCs w:val="28"/>
          <w:lang w:eastAsia="en-US"/>
        </w:rPr>
        <w:t>2</w:t>
      </w:r>
    </w:p>
    <w:p w:rsidR="006B4938" w:rsidRPr="00031613" w:rsidRDefault="006B4938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 xml:space="preserve">к постановлению Правительства </w:t>
      </w:r>
    </w:p>
    <w:p w:rsidR="0020248A" w:rsidRDefault="006B4938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>Новосибирской области</w:t>
      </w:r>
    </w:p>
    <w:p w:rsidR="006353AA" w:rsidRDefault="006353AA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</w:p>
    <w:p w:rsidR="00BF37BB" w:rsidRDefault="00BF37BB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</w:p>
    <w:p w:rsidR="00397BC3" w:rsidRPr="00031613" w:rsidRDefault="00397BC3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</w:p>
    <w:p w:rsidR="00314F01" w:rsidRPr="00031613" w:rsidRDefault="00EA1F76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>«</w:t>
      </w:r>
      <w:r w:rsidR="006353AA" w:rsidRPr="00031613">
        <w:rPr>
          <w:rFonts w:eastAsia="Calibri"/>
          <w:szCs w:val="28"/>
          <w:lang w:eastAsia="en-US"/>
        </w:rPr>
        <w:t>П</w:t>
      </w:r>
      <w:r w:rsidR="006353AA">
        <w:rPr>
          <w:rFonts w:eastAsia="Calibri"/>
          <w:szCs w:val="28"/>
          <w:lang w:eastAsia="en-US"/>
        </w:rPr>
        <w:t>РИЛОЖЕНИЕ</w:t>
      </w:r>
      <w:r w:rsidR="006353AA" w:rsidRPr="00031613">
        <w:rPr>
          <w:rFonts w:eastAsia="Calibri"/>
          <w:szCs w:val="28"/>
          <w:lang w:eastAsia="en-US"/>
        </w:rPr>
        <w:t xml:space="preserve"> </w:t>
      </w:r>
      <w:r w:rsidR="0040595E" w:rsidRPr="00031613">
        <w:rPr>
          <w:rFonts w:eastAsia="Calibri"/>
          <w:szCs w:val="28"/>
          <w:lang w:eastAsia="en-US"/>
        </w:rPr>
        <w:t>№ </w:t>
      </w:r>
      <w:r w:rsidR="00C364F7">
        <w:rPr>
          <w:rFonts w:eastAsia="Calibri"/>
          <w:szCs w:val="28"/>
          <w:lang w:eastAsia="en-US"/>
        </w:rPr>
        <w:t>4</w:t>
      </w:r>
    </w:p>
    <w:p w:rsidR="006353AA" w:rsidRDefault="004B773E" w:rsidP="006353AA">
      <w:pPr>
        <w:widowControl w:val="0"/>
        <w:autoSpaceDE w:val="0"/>
        <w:autoSpaceDN w:val="0"/>
        <w:adjustRightInd w:val="0"/>
        <w:ind w:left="9923"/>
        <w:jc w:val="center"/>
        <w:rPr>
          <w:szCs w:val="28"/>
        </w:rPr>
      </w:pPr>
      <w:r w:rsidRPr="00031613">
        <w:rPr>
          <w:szCs w:val="28"/>
        </w:rPr>
        <w:t xml:space="preserve">к Территориальной программе государственных гарантий бесплатного </w:t>
      </w:r>
      <w:r w:rsidR="0092086C" w:rsidRPr="00031613">
        <w:rPr>
          <w:szCs w:val="28"/>
        </w:rPr>
        <w:t>оказания гражданам медицинской</w:t>
      </w:r>
      <w:r w:rsidR="003114AB" w:rsidRPr="00031613">
        <w:rPr>
          <w:szCs w:val="28"/>
        </w:rPr>
        <w:t xml:space="preserve"> </w:t>
      </w:r>
      <w:r w:rsidRPr="00031613">
        <w:rPr>
          <w:szCs w:val="28"/>
        </w:rPr>
        <w:t xml:space="preserve">помощи </w:t>
      </w:r>
    </w:p>
    <w:p w:rsidR="006353AA" w:rsidRDefault="0092086C" w:rsidP="006353AA">
      <w:pPr>
        <w:widowControl w:val="0"/>
        <w:autoSpaceDE w:val="0"/>
        <w:autoSpaceDN w:val="0"/>
        <w:adjustRightInd w:val="0"/>
        <w:ind w:left="9923"/>
        <w:jc w:val="center"/>
        <w:rPr>
          <w:szCs w:val="28"/>
        </w:rPr>
      </w:pPr>
      <w:r w:rsidRPr="00031613">
        <w:rPr>
          <w:szCs w:val="28"/>
        </w:rPr>
        <w:t>в Новосибирской</w:t>
      </w:r>
      <w:r w:rsidR="003114AB" w:rsidRPr="00031613">
        <w:rPr>
          <w:szCs w:val="28"/>
        </w:rPr>
        <w:t xml:space="preserve"> </w:t>
      </w:r>
      <w:r w:rsidR="004B773E" w:rsidRPr="00031613">
        <w:rPr>
          <w:szCs w:val="28"/>
        </w:rPr>
        <w:t>области на 201</w:t>
      </w:r>
      <w:r w:rsidR="00F86AAB" w:rsidRPr="00031613">
        <w:rPr>
          <w:szCs w:val="28"/>
        </w:rPr>
        <w:t>8</w:t>
      </w:r>
      <w:r w:rsidR="004B773E" w:rsidRPr="00031613">
        <w:rPr>
          <w:szCs w:val="28"/>
        </w:rPr>
        <w:t xml:space="preserve"> год</w:t>
      </w:r>
      <w:r w:rsidR="006878F5" w:rsidRPr="00031613">
        <w:rPr>
          <w:szCs w:val="28"/>
        </w:rPr>
        <w:t xml:space="preserve"> </w:t>
      </w:r>
    </w:p>
    <w:p w:rsidR="00C25F60" w:rsidRDefault="006878F5" w:rsidP="00397BC3">
      <w:pPr>
        <w:widowControl w:val="0"/>
        <w:autoSpaceDE w:val="0"/>
        <w:autoSpaceDN w:val="0"/>
        <w:adjustRightInd w:val="0"/>
        <w:ind w:left="9923"/>
        <w:jc w:val="center"/>
        <w:rPr>
          <w:szCs w:val="28"/>
        </w:rPr>
      </w:pPr>
      <w:r w:rsidRPr="00031613">
        <w:rPr>
          <w:szCs w:val="28"/>
        </w:rPr>
        <w:t>и на плановый период 201</w:t>
      </w:r>
      <w:r w:rsidR="00F86AAB" w:rsidRPr="00031613">
        <w:rPr>
          <w:szCs w:val="28"/>
        </w:rPr>
        <w:t>9</w:t>
      </w:r>
      <w:r w:rsidRPr="00031613">
        <w:rPr>
          <w:szCs w:val="28"/>
        </w:rPr>
        <w:t xml:space="preserve"> и 20</w:t>
      </w:r>
      <w:r w:rsidR="00F86AAB" w:rsidRPr="00031613">
        <w:rPr>
          <w:szCs w:val="28"/>
        </w:rPr>
        <w:t>20</w:t>
      </w:r>
      <w:r w:rsidRPr="00031613">
        <w:rPr>
          <w:szCs w:val="28"/>
        </w:rPr>
        <w:t xml:space="preserve"> годов</w:t>
      </w:r>
    </w:p>
    <w:p w:rsidR="00397BC3" w:rsidRPr="00031613" w:rsidRDefault="00397BC3" w:rsidP="00DB5A44">
      <w:pPr>
        <w:widowControl w:val="0"/>
        <w:autoSpaceDE w:val="0"/>
        <w:autoSpaceDN w:val="0"/>
        <w:adjustRightInd w:val="0"/>
        <w:rPr>
          <w:szCs w:val="28"/>
        </w:rPr>
      </w:pPr>
    </w:p>
    <w:p w:rsidR="00C364F7" w:rsidRPr="009D4F36" w:rsidRDefault="00C364F7" w:rsidP="00C364F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D4F36">
        <w:rPr>
          <w:b/>
          <w:szCs w:val="28"/>
        </w:rPr>
        <w:t>Утвержденная стоимость</w:t>
      </w:r>
    </w:p>
    <w:p w:rsidR="00C364F7" w:rsidRPr="007A4DDB" w:rsidRDefault="00C364F7" w:rsidP="007A4DD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9D4F36">
        <w:rPr>
          <w:b/>
          <w:szCs w:val="28"/>
        </w:rPr>
        <w:t>ерриториальной программы госуд</w:t>
      </w:r>
      <w:r>
        <w:rPr>
          <w:b/>
          <w:szCs w:val="28"/>
        </w:rPr>
        <w:t xml:space="preserve">арственных гарантий бесплатного оказания гражданам </w:t>
      </w:r>
      <w:r w:rsidRPr="009D4F36">
        <w:rPr>
          <w:b/>
          <w:szCs w:val="28"/>
        </w:rPr>
        <w:t xml:space="preserve">медицинской помощи </w:t>
      </w:r>
      <w:r w:rsidRPr="002B189A">
        <w:rPr>
          <w:b/>
          <w:bCs/>
          <w:szCs w:val="28"/>
        </w:rPr>
        <w:t>в Новосибирской области</w:t>
      </w:r>
      <w:r w:rsidRPr="009D4F36">
        <w:rPr>
          <w:b/>
          <w:szCs w:val="28"/>
        </w:rPr>
        <w:t xml:space="preserve"> по</w:t>
      </w:r>
      <w:r>
        <w:rPr>
          <w:b/>
          <w:szCs w:val="28"/>
        </w:rPr>
        <w:t xml:space="preserve"> </w:t>
      </w:r>
      <w:r w:rsidRPr="009D4F36">
        <w:rPr>
          <w:b/>
          <w:szCs w:val="28"/>
        </w:rPr>
        <w:t>источникам</w:t>
      </w:r>
      <w:r>
        <w:rPr>
          <w:b/>
          <w:szCs w:val="28"/>
        </w:rPr>
        <w:t xml:space="preserve"> финансового обеспечения на 2018-2020</w:t>
      </w:r>
      <w:r w:rsidRPr="009D4F36">
        <w:rPr>
          <w:b/>
          <w:szCs w:val="28"/>
        </w:rPr>
        <w:t xml:space="preserve"> годы</w:t>
      </w:r>
    </w:p>
    <w:p w:rsidR="00C364F7" w:rsidRDefault="00C364F7" w:rsidP="00C364F7">
      <w:pPr>
        <w:contextualSpacing/>
        <w:jc w:val="both"/>
        <w:rPr>
          <w:szCs w:val="28"/>
        </w:rPr>
      </w:pPr>
    </w:p>
    <w:tbl>
      <w:tblPr>
        <w:tblStyle w:val="a7"/>
        <w:tblW w:w="4976" w:type="pct"/>
        <w:tblLook w:val="04A0" w:firstRow="1" w:lastRow="0" w:firstColumn="1" w:lastColumn="0" w:noHBand="0" w:noVBand="1"/>
      </w:tblPr>
      <w:tblGrid>
        <w:gridCol w:w="4735"/>
        <w:gridCol w:w="575"/>
        <w:gridCol w:w="1576"/>
        <w:gridCol w:w="2009"/>
        <w:gridCol w:w="1435"/>
        <w:gridCol w:w="2006"/>
        <w:gridCol w:w="1575"/>
        <w:gridCol w:w="1933"/>
      </w:tblGrid>
      <w:tr w:rsidR="007A4DDB" w:rsidRPr="00F54B1B" w:rsidTr="00397BC3">
        <w:trPr>
          <w:trHeight w:val="20"/>
        </w:trPr>
        <w:tc>
          <w:tcPr>
            <w:tcW w:w="1494" w:type="pct"/>
            <w:vMerge w:val="restart"/>
            <w:hideMark/>
          </w:tcPr>
          <w:p w:rsidR="007A4DDB" w:rsidRPr="002B189A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2B189A">
              <w:rPr>
                <w:sz w:val="24"/>
                <w:szCs w:val="24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2B189A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 </w:t>
            </w:r>
            <w:r w:rsidRPr="002B189A">
              <w:rPr>
                <w:bCs/>
                <w:sz w:val="24"/>
                <w:szCs w:val="24"/>
              </w:rPr>
              <w:t>Новосибирской области</w:t>
            </w:r>
          </w:p>
        </w:tc>
        <w:tc>
          <w:tcPr>
            <w:tcW w:w="181" w:type="pct"/>
            <w:vMerge w:val="restart"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131" w:type="pct"/>
            <w:gridSpan w:val="2"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Утвержденная стоимость т</w:t>
            </w:r>
            <w:r>
              <w:rPr>
                <w:sz w:val="24"/>
                <w:szCs w:val="24"/>
              </w:rPr>
              <w:t>ерриториальной программы</w:t>
            </w:r>
            <w:r>
              <w:rPr>
                <w:sz w:val="24"/>
                <w:szCs w:val="24"/>
              </w:rPr>
              <w:br/>
              <w:t>на 2018</w:t>
            </w:r>
            <w:r w:rsidRPr="00F54B1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86" w:type="pct"/>
            <w:gridSpan w:val="2"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Утвержденная стоимость т</w:t>
            </w:r>
            <w:r>
              <w:rPr>
                <w:sz w:val="24"/>
                <w:szCs w:val="24"/>
              </w:rPr>
              <w:t>ерриториальной программы</w:t>
            </w:r>
            <w:r>
              <w:rPr>
                <w:sz w:val="24"/>
                <w:szCs w:val="24"/>
              </w:rPr>
              <w:br/>
              <w:t>на 2019</w:t>
            </w:r>
            <w:r w:rsidRPr="00F54B1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07" w:type="pct"/>
            <w:gridSpan w:val="2"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Утвержденная стоимость т</w:t>
            </w:r>
            <w:r>
              <w:rPr>
                <w:sz w:val="24"/>
                <w:szCs w:val="24"/>
              </w:rPr>
              <w:t>ерриториальной программы</w:t>
            </w:r>
            <w:r>
              <w:rPr>
                <w:sz w:val="24"/>
                <w:szCs w:val="24"/>
              </w:rPr>
              <w:br/>
              <w:t>на 2020</w:t>
            </w:r>
            <w:r w:rsidRPr="00F54B1B">
              <w:rPr>
                <w:sz w:val="24"/>
                <w:szCs w:val="24"/>
              </w:rPr>
              <w:t xml:space="preserve"> год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vMerge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всего</w:t>
            </w:r>
            <w:r w:rsidRPr="00F54B1B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634" w:type="pct"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 xml:space="preserve">на 1 жителя </w:t>
            </w:r>
            <w:r w:rsidRPr="00F54B1B">
              <w:rPr>
                <w:sz w:val="24"/>
                <w:szCs w:val="24"/>
              </w:rPr>
              <w:br/>
              <w:t>(1 застрахованное лицо) в год (руб.)</w:t>
            </w:r>
          </w:p>
        </w:tc>
        <w:tc>
          <w:tcPr>
            <w:tcW w:w="453" w:type="pct"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всего</w:t>
            </w:r>
            <w:r w:rsidRPr="00F54B1B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633" w:type="pct"/>
            <w:hideMark/>
          </w:tcPr>
          <w:p w:rsidR="007A4DDB" w:rsidRPr="00F54B1B" w:rsidRDefault="007A4DDB" w:rsidP="00397BC3">
            <w:pPr>
              <w:ind w:left="-169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 xml:space="preserve">на 1 жителя </w:t>
            </w:r>
            <w:r w:rsidRPr="00F54B1B">
              <w:rPr>
                <w:sz w:val="24"/>
                <w:szCs w:val="24"/>
              </w:rPr>
              <w:br/>
              <w:t>(1 застрахованное лицо) в год (руб.)</w:t>
            </w:r>
          </w:p>
        </w:tc>
        <w:tc>
          <w:tcPr>
            <w:tcW w:w="497" w:type="pct"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всего</w:t>
            </w:r>
            <w:r w:rsidRPr="00F54B1B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610" w:type="pct"/>
            <w:hideMark/>
          </w:tcPr>
          <w:p w:rsidR="007A4DDB" w:rsidRPr="00F54B1B" w:rsidRDefault="007A4DDB" w:rsidP="00397BC3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 xml:space="preserve">на 1 жителя </w:t>
            </w:r>
            <w:r w:rsidRPr="00F54B1B">
              <w:rPr>
                <w:sz w:val="24"/>
                <w:szCs w:val="24"/>
              </w:rPr>
              <w:br/>
              <w:t>(1 застрахованное лицо) в год (руб.)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1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3</w:t>
            </w:r>
          </w:p>
        </w:tc>
        <w:tc>
          <w:tcPr>
            <w:tcW w:w="634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6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7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8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F54B1B" w:rsidRDefault="007A4DDB" w:rsidP="00397BC3">
            <w:pPr>
              <w:ind w:right="-108"/>
              <w:contextualSpacing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01</w:t>
            </w:r>
          </w:p>
        </w:tc>
        <w:tc>
          <w:tcPr>
            <w:tcW w:w="497" w:type="pct"/>
            <w:noWrap/>
          </w:tcPr>
          <w:p w:rsidR="007A4DDB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672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337,20</w:t>
            </w:r>
          </w:p>
        </w:tc>
        <w:tc>
          <w:tcPr>
            <w:tcW w:w="634" w:type="pct"/>
            <w:noWrap/>
          </w:tcPr>
          <w:p w:rsidR="00FB3A49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576,44</w:t>
            </w:r>
          </w:p>
        </w:tc>
        <w:tc>
          <w:tcPr>
            <w:tcW w:w="453" w:type="pct"/>
            <w:noWrap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</w:t>
            </w:r>
            <w:r w:rsidR="00A64EB0">
              <w:rPr>
                <w:sz w:val="24"/>
                <w:szCs w:val="24"/>
              </w:rPr>
              <w:t>395 563,4</w:t>
            </w:r>
          </w:p>
        </w:tc>
        <w:tc>
          <w:tcPr>
            <w:tcW w:w="633" w:type="pct"/>
            <w:noWrap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15 45</w:t>
            </w:r>
            <w:r w:rsidR="00A64E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59</w:t>
            </w:r>
          </w:p>
        </w:tc>
        <w:tc>
          <w:tcPr>
            <w:tcW w:w="497" w:type="pct"/>
            <w:noWrap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45 1</w:t>
            </w:r>
            <w:r w:rsidR="00A64EB0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 </w:t>
            </w:r>
            <w:r w:rsidR="00A64EB0">
              <w:rPr>
                <w:sz w:val="24"/>
                <w:szCs w:val="24"/>
              </w:rPr>
              <w:t>694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610" w:type="pct"/>
            <w:noWrap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16 04</w:t>
            </w:r>
            <w:r w:rsidR="00A64E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01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F54B1B" w:rsidRDefault="007A4DDB" w:rsidP="00397BC3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 </w:t>
            </w:r>
            <w:r w:rsidRPr="00F54B1B">
              <w:rPr>
                <w:sz w:val="24"/>
                <w:szCs w:val="24"/>
              </w:rPr>
              <w:t>Средства консолидированного бюджет</w:t>
            </w:r>
            <w:r>
              <w:rPr>
                <w:sz w:val="24"/>
                <w:szCs w:val="24"/>
              </w:rPr>
              <w:t>а субъекта Российской Федерации</w:t>
            </w:r>
            <w:r w:rsidRPr="00F54B1B">
              <w:rPr>
                <w:sz w:val="24"/>
                <w:szCs w:val="24"/>
              </w:rPr>
              <w:t>*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02</w:t>
            </w:r>
          </w:p>
        </w:tc>
        <w:tc>
          <w:tcPr>
            <w:tcW w:w="497" w:type="pct"/>
            <w:noWrap/>
          </w:tcPr>
          <w:p w:rsidR="007A4DDB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749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039,10</w:t>
            </w:r>
          </w:p>
        </w:tc>
        <w:tc>
          <w:tcPr>
            <w:tcW w:w="634" w:type="pct"/>
            <w:noWrap/>
          </w:tcPr>
          <w:p w:rsidR="007A4DDB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496,93</w:t>
            </w:r>
          </w:p>
        </w:tc>
        <w:tc>
          <w:tcPr>
            <w:tcW w:w="453" w:type="pct"/>
            <w:noWrap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8 251 592,8</w:t>
            </w:r>
          </w:p>
        </w:tc>
        <w:tc>
          <w:tcPr>
            <w:tcW w:w="633" w:type="pct"/>
            <w:noWrap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2 938,42</w:t>
            </w:r>
          </w:p>
        </w:tc>
        <w:tc>
          <w:tcPr>
            <w:tcW w:w="497" w:type="pct"/>
            <w:noWrap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8 568 633,8</w:t>
            </w:r>
          </w:p>
        </w:tc>
        <w:tc>
          <w:tcPr>
            <w:tcW w:w="610" w:type="pct"/>
            <w:noWrap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3 030,37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F54B1B" w:rsidRDefault="007A4DDB" w:rsidP="00397BC3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 </w:t>
            </w:r>
            <w:r w:rsidRPr="00F54B1B">
              <w:rPr>
                <w:sz w:val="24"/>
                <w:szCs w:val="24"/>
              </w:rPr>
              <w:t>Стоимость терр</w:t>
            </w:r>
            <w:r>
              <w:rPr>
                <w:sz w:val="24"/>
                <w:szCs w:val="24"/>
              </w:rPr>
              <w:t xml:space="preserve">иториальной программы </w:t>
            </w:r>
            <w:r>
              <w:rPr>
                <w:sz w:val="24"/>
                <w:szCs w:val="24"/>
              </w:rPr>
              <w:lastRenderedPageBreak/>
              <w:t>ОМС всего</w:t>
            </w:r>
            <w:r w:rsidRPr="00F54B1B">
              <w:rPr>
                <w:sz w:val="24"/>
                <w:szCs w:val="24"/>
              </w:rPr>
              <w:t>** (сумма строк 04 + 08)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923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298,10</w:t>
            </w:r>
          </w:p>
        </w:tc>
        <w:tc>
          <w:tcPr>
            <w:tcW w:w="634" w:type="pct"/>
            <w:noWrap/>
            <w:hideMark/>
          </w:tcPr>
          <w:p w:rsidR="00152D33" w:rsidRPr="00152D33" w:rsidRDefault="00152D33" w:rsidP="00152D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2D33">
              <w:rPr>
                <w:color w:val="000000"/>
                <w:sz w:val="24"/>
                <w:szCs w:val="24"/>
              </w:rPr>
              <w:t>12 079,51</w:t>
            </w:r>
          </w:p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noWrap/>
            <w:hideMark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35 1</w:t>
            </w:r>
            <w:r w:rsidR="00A64EB0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 </w:t>
            </w:r>
            <w:r w:rsidR="00A64EB0">
              <w:rPr>
                <w:sz w:val="24"/>
                <w:szCs w:val="24"/>
              </w:rPr>
              <w:t>970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6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12 51</w:t>
            </w:r>
            <w:r w:rsidR="00A64E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17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</w:t>
            </w:r>
            <w:r w:rsidR="00A64EB0">
              <w:rPr>
                <w:sz w:val="24"/>
                <w:szCs w:val="24"/>
              </w:rPr>
              <w:t>55 061,1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</w:t>
            </w:r>
            <w:r w:rsidR="00A64E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64</w:t>
            </w:r>
          </w:p>
        </w:tc>
      </w:tr>
      <w:tr w:rsidR="00A64EB0" w:rsidRPr="00F54B1B" w:rsidTr="00397BC3">
        <w:trPr>
          <w:trHeight w:val="20"/>
        </w:trPr>
        <w:tc>
          <w:tcPr>
            <w:tcW w:w="1494" w:type="pct"/>
            <w:hideMark/>
          </w:tcPr>
          <w:p w:rsidR="00A64EB0" w:rsidRPr="00F54B1B" w:rsidRDefault="00A64EB0" w:rsidP="00397BC3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Стоимость</w:t>
            </w:r>
            <w:r w:rsidRPr="00F54B1B">
              <w:rPr>
                <w:sz w:val="24"/>
                <w:szCs w:val="24"/>
              </w:rPr>
              <w:t xml:space="preserve"> территориальной программы ОМС за счет средств обязательного медицинского страхов</w:t>
            </w:r>
            <w:r>
              <w:rPr>
                <w:sz w:val="24"/>
                <w:szCs w:val="24"/>
              </w:rPr>
              <w:t xml:space="preserve">ания в рамках базовой программы** (сумма строк 05+ 06 + 07), </w:t>
            </w:r>
            <w:r w:rsidRPr="00F54B1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F54B1B">
              <w:rPr>
                <w:sz w:val="24"/>
                <w:szCs w:val="24"/>
              </w:rPr>
              <w:t>том числе:</w:t>
            </w:r>
          </w:p>
        </w:tc>
        <w:tc>
          <w:tcPr>
            <w:tcW w:w="181" w:type="pct"/>
            <w:noWrap/>
            <w:hideMark/>
          </w:tcPr>
          <w:p w:rsidR="00A64EB0" w:rsidRPr="00F54B1B" w:rsidRDefault="00A64EB0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04</w:t>
            </w:r>
          </w:p>
        </w:tc>
        <w:tc>
          <w:tcPr>
            <w:tcW w:w="497" w:type="pct"/>
            <w:noWrap/>
            <w:hideMark/>
          </w:tcPr>
          <w:p w:rsidR="00A64EB0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 923 </w:t>
            </w:r>
            <w:r w:rsidRPr="00152D33">
              <w:rPr>
                <w:sz w:val="24"/>
                <w:szCs w:val="24"/>
              </w:rPr>
              <w:t>298,10</w:t>
            </w:r>
          </w:p>
        </w:tc>
        <w:tc>
          <w:tcPr>
            <w:tcW w:w="634" w:type="pct"/>
            <w:noWrap/>
            <w:hideMark/>
          </w:tcPr>
          <w:p w:rsidR="00A64EB0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079,51</w:t>
            </w:r>
          </w:p>
        </w:tc>
        <w:tc>
          <w:tcPr>
            <w:tcW w:w="453" w:type="pct"/>
            <w:noWrap/>
            <w:hideMark/>
          </w:tcPr>
          <w:p w:rsidR="00A64EB0" w:rsidRPr="00F54B1B" w:rsidRDefault="00A64EB0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35 143 970,6</w:t>
            </w:r>
          </w:p>
        </w:tc>
        <w:tc>
          <w:tcPr>
            <w:tcW w:w="633" w:type="pct"/>
            <w:noWrap/>
            <w:hideMark/>
          </w:tcPr>
          <w:p w:rsidR="00A64EB0" w:rsidRPr="00F54B1B" w:rsidRDefault="00A64EB0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12 514,17</w:t>
            </w:r>
          </w:p>
        </w:tc>
        <w:tc>
          <w:tcPr>
            <w:tcW w:w="497" w:type="pct"/>
            <w:noWrap/>
            <w:hideMark/>
          </w:tcPr>
          <w:p w:rsidR="00A64EB0" w:rsidRPr="00F54B1B" w:rsidRDefault="00A64EB0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36 555 061,1</w:t>
            </w:r>
          </w:p>
        </w:tc>
        <w:tc>
          <w:tcPr>
            <w:tcW w:w="610" w:type="pct"/>
            <w:noWrap/>
            <w:hideMark/>
          </w:tcPr>
          <w:p w:rsidR="00A64EB0" w:rsidRPr="00F54B1B" w:rsidRDefault="00A64EB0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13 016,64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0D1E38" w:rsidRDefault="007A4DDB" w:rsidP="00397BC3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1.1. Субвенции из бюджета ФОМС</w:t>
            </w:r>
            <w:r w:rsidRPr="000D1E38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05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152D33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 891 </w:t>
            </w:r>
            <w:r w:rsidRPr="00152D33">
              <w:rPr>
                <w:sz w:val="24"/>
                <w:szCs w:val="24"/>
              </w:rPr>
              <w:t>648,6</w:t>
            </w:r>
          </w:p>
        </w:tc>
        <w:tc>
          <w:tcPr>
            <w:tcW w:w="634" w:type="pct"/>
            <w:noWrap/>
            <w:hideMark/>
          </w:tcPr>
          <w:p w:rsidR="007A4DDB" w:rsidRPr="005E10E7" w:rsidRDefault="00152D33" w:rsidP="00152D33">
            <w:pPr>
              <w:ind w:left="-104" w:right="-6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52D3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152D33">
              <w:rPr>
                <w:sz w:val="24"/>
                <w:szCs w:val="24"/>
              </w:rPr>
              <w:t>068,2</w:t>
            </w:r>
            <w:r w:rsidR="005E10E7">
              <w:rPr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453" w:type="pct"/>
            <w:noWrap/>
            <w:hideMark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35 129 772,1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12 509,11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36 540 139,9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13 011,32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0D1E38" w:rsidRDefault="007A4DDB" w:rsidP="00397BC3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1.2. М</w:t>
            </w:r>
            <w:r w:rsidRPr="000D1E38">
              <w:rPr>
                <w:iCs/>
                <w:sz w:val="24"/>
                <w:szCs w:val="24"/>
              </w:rPr>
              <w:t>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06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34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0D1E38" w:rsidRDefault="007A4DDB" w:rsidP="00397BC3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1.3. П</w:t>
            </w:r>
            <w:r w:rsidRPr="000D1E38">
              <w:rPr>
                <w:iCs/>
                <w:sz w:val="24"/>
                <w:szCs w:val="24"/>
              </w:rPr>
              <w:t>рочие поступления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07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823147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31 649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pct"/>
            <w:noWrap/>
            <w:hideMark/>
          </w:tcPr>
          <w:p w:rsidR="007A4DDB" w:rsidRPr="00F54B1B" w:rsidRDefault="00823147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FE33BD">
              <w:rPr>
                <w:sz w:val="24"/>
                <w:szCs w:val="24"/>
              </w:rPr>
              <w:t>27</w:t>
            </w:r>
          </w:p>
        </w:tc>
        <w:tc>
          <w:tcPr>
            <w:tcW w:w="453" w:type="pct"/>
            <w:noWrap/>
            <w:hideMark/>
          </w:tcPr>
          <w:p w:rsidR="007A4DDB" w:rsidRPr="00F54B1B" w:rsidRDefault="00A64EB0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14 198,5</w:t>
            </w:r>
            <w:r w:rsidR="007A4DDB" w:rsidRPr="00F54B1B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A64EB0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A64EB0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14 921,2</w:t>
            </w:r>
            <w:r w:rsidR="007A4DDB" w:rsidRPr="00F54B1B">
              <w:rPr>
                <w:sz w:val="24"/>
                <w:szCs w:val="24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A64EB0" w:rsidP="00397BC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F54B1B" w:rsidRDefault="007A4DDB" w:rsidP="00397BC3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М</w:t>
            </w:r>
            <w:r w:rsidRPr="00F54B1B">
              <w:rPr>
                <w:sz w:val="24"/>
                <w:szCs w:val="24"/>
              </w:rPr>
              <w:t>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08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</w:t>
            </w:r>
          </w:p>
        </w:tc>
        <w:tc>
          <w:tcPr>
            <w:tcW w:w="634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0,00</w:t>
            </w:r>
          </w:p>
        </w:tc>
        <w:tc>
          <w:tcPr>
            <w:tcW w:w="453" w:type="pct"/>
            <w:noWrap/>
            <w:hideMark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0,00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0,00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0D1E38" w:rsidRDefault="007A4DDB" w:rsidP="00397BC3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  <w:r w:rsidRPr="000D1E38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. М</w:t>
            </w:r>
            <w:r w:rsidRPr="000D1E38">
              <w:rPr>
                <w:iCs/>
                <w:sz w:val="24"/>
                <w:szCs w:val="24"/>
              </w:rPr>
              <w:t>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09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34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</w:tr>
      <w:tr w:rsidR="007A4DDB" w:rsidRPr="00F54B1B" w:rsidTr="00397BC3">
        <w:trPr>
          <w:trHeight w:val="20"/>
        </w:trPr>
        <w:tc>
          <w:tcPr>
            <w:tcW w:w="1494" w:type="pct"/>
            <w:hideMark/>
          </w:tcPr>
          <w:p w:rsidR="007A4DDB" w:rsidRPr="000D1E38" w:rsidRDefault="007A4DDB" w:rsidP="00397BC3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2.2. М</w:t>
            </w:r>
            <w:r w:rsidRPr="000D1E38">
              <w:rPr>
                <w:iCs/>
                <w:sz w:val="24"/>
                <w:szCs w:val="24"/>
              </w:rPr>
              <w:t>ежбюджетные трансферты, передаваемые из бюджета субъекта</w:t>
            </w:r>
            <w:r>
              <w:rPr>
                <w:iCs/>
                <w:sz w:val="24"/>
                <w:szCs w:val="24"/>
              </w:rPr>
              <w:t xml:space="preserve"> Российской Федерации в бюджет Т</w:t>
            </w:r>
            <w:r w:rsidRPr="000D1E38">
              <w:rPr>
                <w:iCs/>
                <w:sz w:val="24"/>
                <w:szCs w:val="24"/>
              </w:rPr>
              <w:t xml:space="preserve">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 w:rsidRPr="000D1E38">
              <w:rPr>
                <w:iCs/>
                <w:sz w:val="24"/>
                <w:szCs w:val="24"/>
              </w:rPr>
              <w:lastRenderedPageBreak/>
              <w:t>обязательного медицинского страхования</w:t>
            </w:r>
          </w:p>
        </w:tc>
        <w:tc>
          <w:tcPr>
            <w:tcW w:w="181" w:type="pct"/>
            <w:noWrap/>
            <w:hideMark/>
          </w:tcPr>
          <w:p w:rsidR="007A4DDB" w:rsidRPr="00F54B1B" w:rsidRDefault="007A4DDB" w:rsidP="00397BC3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34" w:type="pct"/>
            <w:noWrap/>
            <w:hideMark/>
          </w:tcPr>
          <w:p w:rsidR="007A4DDB" w:rsidRPr="00F54B1B" w:rsidRDefault="007A4DDB" w:rsidP="00397BC3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7A4DDB" w:rsidRPr="00F54B1B" w:rsidRDefault="007A4DDB" w:rsidP="00397BC3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497" w:type="pct"/>
            <w:noWrap/>
            <w:hideMark/>
          </w:tcPr>
          <w:p w:rsidR="007A4DDB" w:rsidRPr="00F54B1B" w:rsidRDefault="007A4DDB" w:rsidP="00397BC3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7A4DDB" w:rsidRPr="00F54B1B" w:rsidRDefault="007A4DDB" w:rsidP="00397BC3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</w:tr>
    </w:tbl>
    <w:p w:rsidR="00C364F7" w:rsidRDefault="00C364F7" w:rsidP="00C364F7">
      <w:pPr>
        <w:contextualSpacing/>
        <w:jc w:val="both"/>
        <w:rPr>
          <w:szCs w:val="28"/>
        </w:rPr>
      </w:pPr>
    </w:p>
    <w:p w:rsidR="00C364F7" w:rsidRDefault="00C364F7" w:rsidP="00397BC3">
      <w:pPr>
        <w:contextualSpacing/>
        <w:jc w:val="both"/>
        <w:rPr>
          <w:szCs w:val="28"/>
        </w:rPr>
      </w:pPr>
      <w:r>
        <w:rPr>
          <w:szCs w:val="28"/>
        </w:rPr>
        <w:t>*Б</w:t>
      </w:r>
      <w:r w:rsidRPr="007650E4">
        <w:rPr>
          <w:szCs w:val="28"/>
        </w:rPr>
        <w:t xml:space="preserve"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>
        <w:rPr>
          <w:szCs w:val="28"/>
        </w:rPr>
        <w:t xml:space="preserve">на </w:t>
      </w:r>
      <w:r w:rsidRPr="00ED027C">
        <w:rPr>
          <w:szCs w:val="28"/>
        </w:rPr>
        <w:t>целевые программы</w:t>
      </w:r>
      <w:r w:rsidRPr="007650E4">
        <w:rPr>
          <w:szCs w:val="28"/>
        </w:rPr>
        <w:t>, а также межбюджетных трансфертов (строки 06 и 10)</w:t>
      </w:r>
      <w:r>
        <w:rPr>
          <w:szCs w:val="28"/>
        </w:rPr>
        <w:t>.</w:t>
      </w:r>
    </w:p>
    <w:p w:rsidR="00C364F7" w:rsidRDefault="00C364F7" w:rsidP="00397BC3">
      <w:pPr>
        <w:contextualSpacing/>
        <w:jc w:val="both"/>
        <w:rPr>
          <w:szCs w:val="28"/>
        </w:rPr>
      </w:pPr>
      <w:r>
        <w:rPr>
          <w:szCs w:val="28"/>
        </w:rPr>
        <w:t>**Б</w:t>
      </w:r>
      <w:r w:rsidRPr="007650E4">
        <w:rPr>
          <w:szCs w:val="28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>
        <w:rPr>
          <w:szCs w:val="28"/>
        </w:rPr>
        <w:t>.</w:t>
      </w:r>
    </w:p>
    <w:p w:rsidR="00C364F7" w:rsidRDefault="00C364F7" w:rsidP="00C364F7">
      <w:pPr>
        <w:contextualSpacing/>
        <w:jc w:val="both"/>
        <w:rPr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59"/>
        <w:gridCol w:w="1738"/>
        <w:gridCol w:w="1866"/>
        <w:gridCol w:w="1675"/>
        <w:gridCol w:w="2009"/>
        <w:gridCol w:w="1863"/>
        <w:gridCol w:w="1910"/>
      </w:tblGrid>
      <w:tr w:rsidR="00C364F7" w:rsidRPr="007650E4" w:rsidTr="004B13EC">
        <w:trPr>
          <w:trHeight w:val="272"/>
        </w:trPr>
        <w:tc>
          <w:tcPr>
            <w:tcW w:w="1526" w:type="pct"/>
            <w:vMerge w:val="restart"/>
            <w:noWrap/>
            <w:hideMark/>
          </w:tcPr>
          <w:p w:rsidR="00C364F7" w:rsidRPr="007650E4" w:rsidRDefault="00C364F7" w:rsidP="00CD7E94">
            <w:pPr>
              <w:contextualSpacing/>
              <w:jc w:val="both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Справочно</w:t>
            </w:r>
          </w:p>
        </w:tc>
        <w:tc>
          <w:tcPr>
            <w:tcW w:w="1132" w:type="pct"/>
            <w:gridSpan w:val="2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56" w:type="pct"/>
            <w:gridSpan w:val="2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6" w:type="pct"/>
            <w:gridSpan w:val="2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</w:tr>
      <w:tr w:rsidR="00C364F7" w:rsidRPr="007650E4" w:rsidTr="004B13EC">
        <w:trPr>
          <w:trHeight w:val="815"/>
        </w:trPr>
        <w:tc>
          <w:tcPr>
            <w:tcW w:w="1526" w:type="pct"/>
            <w:vMerge/>
            <w:hideMark/>
          </w:tcPr>
          <w:p w:rsidR="00C364F7" w:rsidRPr="007650E4" w:rsidRDefault="00C364F7" w:rsidP="00CD7E9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46" w:type="pct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586" w:type="pct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526" w:type="pct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631" w:type="pct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585" w:type="pct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601" w:type="pct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</w:tr>
      <w:tr w:rsidR="00C364F7" w:rsidRPr="007650E4" w:rsidTr="004B13EC">
        <w:trPr>
          <w:trHeight w:val="505"/>
        </w:trPr>
        <w:tc>
          <w:tcPr>
            <w:tcW w:w="1526" w:type="pct"/>
            <w:hideMark/>
          </w:tcPr>
          <w:p w:rsidR="00C364F7" w:rsidRPr="007650E4" w:rsidRDefault="00C364F7" w:rsidP="00CD7E94">
            <w:pPr>
              <w:contextualSpacing/>
              <w:jc w:val="both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546" w:type="pct"/>
            <w:noWrap/>
            <w:hideMark/>
          </w:tcPr>
          <w:p w:rsidR="00152D33" w:rsidRPr="00152D33" w:rsidRDefault="00152D33" w:rsidP="00152D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2D33">
              <w:rPr>
                <w:color w:val="000000"/>
                <w:sz w:val="24"/>
                <w:szCs w:val="24"/>
              </w:rPr>
              <w:t>117 905,2</w:t>
            </w:r>
          </w:p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noWrap/>
            <w:hideMark/>
          </w:tcPr>
          <w:p w:rsidR="00C364F7" w:rsidRPr="007650E4" w:rsidRDefault="00152D33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526" w:type="pct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127 221,2</w:t>
            </w:r>
          </w:p>
        </w:tc>
        <w:tc>
          <w:tcPr>
            <w:tcW w:w="631" w:type="pct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585" w:type="pct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127 221,2</w:t>
            </w:r>
          </w:p>
        </w:tc>
        <w:tc>
          <w:tcPr>
            <w:tcW w:w="601" w:type="pct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</w:tr>
    </w:tbl>
    <w:p w:rsidR="00153443" w:rsidRDefault="00153443" w:rsidP="00B17859">
      <w:pPr>
        <w:suppressAutoHyphens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A13BA" w:rsidRDefault="00EA13BA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DE5134" w:rsidRPr="00264A36" w:rsidRDefault="00DE5134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66972" w:rsidRPr="00264A36" w:rsidRDefault="00EA13BA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</w:t>
      </w:r>
      <w:r w:rsidR="00112615">
        <w:rPr>
          <w:rFonts w:eastAsiaTheme="minorHAnsi"/>
          <w:szCs w:val="28"/>
          <w:lang w:eastAsia="en-US"/>
        </w:rPr>
        <w:t>»</w:t>
      </w:r>
      <w:r w:rsidR="00DE5134">
        <w:rPr>
          <w:rFonts w:eastAsiaTheme="minorHAnsi"/>
          <w:szCs w:val="28"/>
          <w:lang w:eastAsia="en-US"/>
        </w:rPr>
        <w:t>.</w:t>
      </w:r>
    </w:p>
    <w:sectPr w:rsidR="00166972" w:rsidRPr="00264A36" w:rsidSect="00397BC3">
      <w:headerReference w:type="default" r:id="rId8"/>
      <w:footerReference w:type="first" r:id="rId9"/>
      <w:pgSz w:w="16838" w:h="11906" w:orient="landscape" w:code="9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DF" w:rsidRDefault="002444DF" w:rsidP="008163EC">
      <w:r>
        <w:separator/>
      </w:r>
    </w:p>
  </w:endnote>
  <w:endnote w:type="continuationSeparator" w:id="0">
    <w:p w:rsidR="002444DF" w:rsidRDefault="002444DF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ED" w:rsidRDefault="004437ED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DF" w:rsidRDefault="002444DF" w:rsidP="008163EC">
      <w:r>
        <w:separator/>
      </w:r>
    </w:p>
  </w:footnote>
  <w:footnote w:type="continuationSeparator" w:id="0">
    <w:p w:rsidR="002444DF" w:rsidRDefault="002444DF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ED" w:rsidRPr="009D43DF" w:rsidRDefault="004437ED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5E10E7">
      <w:rPr>
        <w:noProof/>
        <w:sz w:val="20"/>
      </w:rPr>
      <w:t>2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07F3"/>
    <w:rsid w:val="000062EE"/>
    <w:rsid w:val="000230AC"/>
    <w:rsid w:val="00026DCB"/>
    <w:rsid w:val="00027818"/>
    <w:rsid w:val="0003036F"/>
    <w:rsid w:val="00031613"/>
    <w:rsid w:val="0003163B"/>
    <w:rsid w:val="00034681"/>
    <w:rsid w:val="00035F10"/>
    <w:rsid w:val="0004034F"/>
    <w:rsid w:val="00044A1E"/>
    <w:rsid w:val="000479AA"/>
    <w:rsid w:val="000639FD"/>
    <w:rsid w:val="00065151"/>
    <w:rsid w:val="00066357"/>
    <w:rsid w:val="000703DE"/>
    <w:rsid w:val="00072CC8"/>
    <w:rsid w:val="00075697"/>
    <w:rsid w:val="00081443"/>
    <w:rsid w:val="00083A4F"/>
    <w:rsid w:val="00084B74"/>
    <w:rsid w:val="00091E44"/>
    <w:rsid w:val="00092C86"/>
    <w:rsid w:val="0009308E"/>
    <w:rsid w:val="0009567B"/>
    <w:rsid w:val="00095FF3"/>
    <w:rsid w:val="000A119D"/>
    <w:rsid w:val="000A25CC"/>
    <w:rsid w:val="000A5C5F"/>
    <w:rsid w:val="000B0EE5"/>
    <w:rsid w:val="000C47F0"/>
    <w:rsid w:val="000C4BBB"/>
    <w:rsid w:val="000C4F0C"/>
    <w:rsid w:val="000C5623"/>
    <w:rsid w:val="000C5DE8"/>
    <w:rsid w:val="000C717A"/>
    <w:rsid w:val="000D055A"/>
    <w:rsid w:val="000D3322"/>
    <w:rsid w:val="000D50C4"/>
    <w:rsid w:val="000E1BAA"/>
    <w:rsid w:val="000E1CE1"/>
    <w:rsid w:val="000E355B"/>
    <w:rsid w:val="000E4D87"/>
    <w:rsid w:val="000E64AA"/>
    <w:rsid w:val="000F19A7"/>
    <w:rsid w:val="000F6206"/>
    <w:rsid w:val="000F7A7E"/>
    <w:rsid w:val="00106BC1"/>
    <w:rsid w:val="0011169B"/>
    <w:rsid w:val="00112615"/>
    <w:rsid w:val="00115F3D"/>
    <w:rsid w:val="00121F58"/>
    <w:rsid w:val="001220DC"/>
    <w:rsid w:val="0012358A"/>
    <w:rsid w:val="00124288"/>
    <w:rsid w:val="00127746"/>
    <w:rsid w:val="001311D9"/>
    <w:rsid w:val="00131BF5"/>
    <w:rsid w:val="00132A1C"/>
    <w:rsid w:val="00134176"/>
    <w:rsid w:val="00137AF4"/>
    <w:rsid w:val="001404EC"/>
    <w:rsid w:val="00141CC1"/>
    <w:rsid w:val="001449A7"/>
    <w:rsid w:val="0014735E"/>
    <w:rsid w:val="001503AD"/>
    <w:rsid w:val="00151B47"/>
    <w:rsid w:val="00152D33"/>
    <w:rsid w:val="00153443"/>
    <w:rsid w:val="00155095"/>
    <w:rsid w:val="00162F92"/>
    <w:rsid w:val="00166972"/>
    <w:rsid w:val="00174A8C"/>
    <w:rsid w:val="00177785"/>
    <w:rsid w:val="001832AE"/>
    <w:rsid w:val="00184298"/>
    <w:rsid w:val="00185818"/>
    <w:rsid w:val="001901B4"/>
    <w:rsid w:val="00190DEC"/>
    <w:rsid w:val="00192C12"/>
    <w:rsid w:val="00196694"/>
    <w:rsid w:val="001A1794"/>
    <w:rsid w:val="001A1DE1"/>
    <w:rsid w:val="001A3527"/>
    <w:rsid w:val="001A379A"/>
    <w:rsid w:val="001A443E"/>
    <w:rsid w:val="001A4513"/>
    <w:rsid w:val="001A4D85"/>
    <w:rsid w:val="001A7497"/>
    <w:rsid w:val="001B2C75"/>
    <w:rsid w:val="001C3526"/>
    <w:rsid w:val="001C4FF2"/>
    <w:rsid w:val="001C789D"/>
    <w:rsid w:val="001D0394"/>
    <w:rsid w:val="001D317D"/>
    <w:rsid w:val="001E2E3A"/>
    <w:rsid w:val="001E3A70"/>
    <w:rsid w:val="001E76C3"/>
    <w:rsid w:val="001F0840"/>
    <w:rsid w:val="001F0B9D"/>
    <w:rsid w:val="001F1B83"/>
    <w:rsid w:val="001F541E"/>
    <w:rsid w:val="001F6B31"/>
    <w:rsid w:val="002006E3"/>
    <w:rsid w:val="0020248A"/>
    <w:rsid w:val="00204DE9"/>
    <w:rsid w:val="002059D9"/>
    <w:rsid w:val="00206E90"/>
    <w:rsid w:val="002152B5"/>
    <w:rsid w:val="00215FF5"/>
    <w:rsid w:val="0022292E"/>
    <w:rsid w:val="0022473A"/>
    <w:rsid w:val="00225DD7"/>
    <w:rsid w:val="00231097"/>
    <w:rsid w:val="00241E66"/>
    <w:rsid w:val="002444DF"/>
    <w:rsid w:val="002449B9"/>
    <w:rsid w:val="00246BD9"/>
    <w:rsid w:val="00246D3A"/>
    <w:rsid w:val="00247F3F"/>
    <w:rsid w:val="00256609"/>
    <w:rsid w:val="0026261B"/>
    <w:rsid w:val="00264A36"/>
    <w:rsid w:val="00264C72"/>
    <w:rsid w:val="00266044"/>
    <w:rsid w:val="00274448"/>
    <w:rsid w:val="00275C9D"/>
    <w:rsid w:val="00283A44"/>
    <w:rsid w:val="002862D2"/>
    <w:rsid w:val="00286586"/>
    <w:rsid w:val="00287434"/>
    <w:rsid w:val="0029364A"/>
    <w:rsid w:val="00294175"/>
    <w:rsid w:val="00294DB4"/>
    <w:rsid w:val="0029531E"/>
    <w:rsid w:val="00297514"/>
    <w:rsid w:val="002979B4"/>
    <w:rsid w:val="002A14D2"/>
    <w:rsid w:val="002A2213"/>
    <w:rsid w:val="002B0B5F"/>
    <w:rsid w:val="002B1217"/>
    <w:rsid w:val="002B2C4C"/>
    <w:rsid w:val="002C7A29"/>
    <w:rsid w:val="002D2124"/>
    <w:rsid w:val="002D2D01"/>
    <w:rsid w:val="002D5458"/>
    <w:rsid w:val="002D559D"/>
    <w:rsid w:val="002E1515"/>
    <w:rsid w:val="002E2366"/>
    <w:rsid w:val="002E2910"/>
    <w:rsid w:val="002E4616"/>
    <w:rsid w:val="002F0EE3"/>
    <w:rsid w:val="002F16EE"/>
    <w:rsid w:val="002F1BD5"/>
    <w:rsid w:val="002F3B59"/>
    <w:rsid w:val="002F3E03"/>
    <w:rsid w:val="002F41F0"/>
    <w:rsid w:val="00300C41"/>
    <w:rsid w:val="003010EF"/>
    <w:rsid w:val="00303030"/>
    <w:rsid w:val="00304647"/>
    <w:rsid w:val="00306ADD"/>
    <w:rsid w:val="00311140"/>
    <w:rsid w:val="003114AB"/>
    <w:rsid w:val="0031406C"/>
    <w:rsid w:val="00314F01"/>
    <w:rsid w:val="003154E1"/>
    <w:rsid w:val="00315D27"/>
    <w:rsid w:val="003177D4"/>
    <w:rsid w:val="003277CD"/>
    <w:rsid w:val="00330033"/>
    <w:rsid w:val="00334C0C"/>
    <w:rsid w:val="00334F65"/>
    <w:rsid w:val="003367EF"/>
    <w:rsid w:val="00337AEB"/>
    <w:rsid w:val="0034235F"/>
    <w:rsid w:val="00343E11"/>
    <w:rsid w:val="00344250"/>
    <w:rsid w:val="00350BA4"/>
    <w:rsid w:val="00351955"/>
    <w:rsid w:val="00351ACC"/>
    <w:rsid w:val="00354848"/>
    <w:rsid w:val="003561F7"/>
    <w:rsid w:val="003567F3"/>
    <w:rsid w:val="00361F87"/>
    <w:rsid w:val="003624BF"/>
    <w:rsid w:val="00362B93"/>
    <w:rsid w:val="0036301B"/>
    <w:rsid w:val="00367556"/>
    <w:rsid w:val="00370188"/>
    <w:rsid w:val="003707AB"/>
    <w:rsid w:val="003707F2"/>
    <w:rsid w:val="00374981"/>
    <w:rsid w:val="0037680A"/>
    <w:rsid w:val="00377171"/>
    <w:rsid w:val="0037730C"/>
    <w:rsid w:val="00380361"/>
    <w:rsid w:val="00380F89"/>
    <w:rsid w:val="00381A0E"/>
    <w:rsid w:val="0038247B"/>
    <w:rsid w:val="0038573F"/>
    <w:rsid w:val="003873FC"/>
    <w:rsid w:val="003907BA"/>
    <w:rsid w:val="00392FD5"/>
    <w:rsid w:val="003947BE"/>
    <w:rsid w:val="00397BC3"/>
    <w:rsid w:val="003A11E4"/>
    <w:rsid w:val="003A41BC"/>
    <w:rsid w:val="003A49D1"/>
    <w:rsid w:val="003A49D3"/>
    <w:rsid w:val="003A5665"/>
    <w:rsid w:val="003A7DEF"/>
    <w:rsid w:val="003B1638"/>
    <w:rsid w:val="003B46A7"/>
    <w:rsid w:val="003C7F4C"/>
    <w:rsid w:val="003D1374"/>
    <w:rsid w:val="003D143F"/>
    <w:rsid w:val="003E126A"/>
    <w:rsid w:val="003E6804"/>
    <w:rsid w:val="003E6E9E"/>
    <w:rsid w:val="003F0B2B"/>
    <w:rsid w:val="003F4B47"/>
    <w:rsid w:val="003F4EAB"/>
    <w:rsid w:val="003F6117"/>
    <w:rsid w:val="003F7E82"/>
    <w:rsid w:val="00400B1C"/>
    <w:rsid w:val="00400CF8"/>
    <w:rsid w:val="0040111F"/>
    <w:rsid w:val="00403ECD"/>
    <w:rsid w:val="004043DB"/>
    <w:rsid w:val="0040595E"/>
    <w:rsid w:val="0040702C"/>
    <w:rsid w:val="00410B8B"/>
    <w:rsid w:val="0041196D"/>
    <w:rsid w:val="00411E15"/>
    <w:rsid w:val="004125DB"/>
    <w:rsid w:val="004175B4"/>
    <w:rsid w:val="0041789B"/>
    <w:rsid w:val="0043555B"/>
    <w:rsid w:val="004412B6"/>
    <w:rsid w:val="00442B81"/>
    <w:rsid w:val="004437ED"/>
    <w:rsid w:val="00445206"/>
    <w:rsid w:val="00451EA9"/>
    <w:rsid w:val="00456AE6"/>
    <w:rsid w:val="00457908"/>
    <w:rsid w:val="00461484"/>
    <w:rsid w:val="00464AB5"/>
    <w:rsid w:val="0046707A"/>
    <w:rsid w:val="00470B5D"/>
    <w:rsid w:val="00471CD9"/>
    <w:rsid w:val="00476943"/>
    <w:rsid w:val="00484784"/>
    <w:rsid w:val="00484D23"/>
    <w:rsid w:val="00487208"/>
    <w:rsid w:val="00487F81"/>
    <w:rsid w:val="004925BB"/>
    <w:rsid w:val="004A0094"/>
    <w:rsid w:val="004A2FA4"/>
    <w:rsid w:val="004A4461"/>
    <w:rsid w:val="004A49B2"/>
    <w:rsid w:val="004A709D"/>
    <w:rsid w:val="004B10EB"/>
    <w:rsid w:val="004B13EC"/>
    <w:rsid w:val="004B773E"/>
    <w:rsid w:val="004C74D2"/>
    <w:rsid w:val="004C79D5"/>
    <w:rsid w:val="004D1491"/>
    <w:rsid w:val="004D4651"/>
    <w:rsid w:val="004F6A79"/>
    <w:rsid w:val="00500643"/>
    <w:rsid w:val="00503995"/>
    <w:rsid w:val="00504FD0"/>
    <w:rsid w:val="005061ED"/>
    <w:rsid w:val="00507294"/>
    <w:rsid w:val="00512A8C"/>
    <w:rsid w:val="005132DC"/>
    <w:rsid w:val="00517F05"/>
    <w:rsid w:val="00522C8F"/>
    <w:rsid w:val="00523AB6"/>
    <w:rsid w:val="0052468F"/>
    <w:rsid w:val="00525B8B"/>
    <w:rsid w:val="0053021A"/>
    <w:rsid w:val="0053333B"/>
    <w:rsid w:val="00545C24"/>
    <w:rsid w:val="005473A2"/>
    <w:rsid w:val="00551501"/>
    <w:rsid w:val="00552048"/>
    <w:rsid w:val="00554070"/>
    <w:rsid w:val="00554F10"/>
    <w:rsid w:val="0055551E"/>
    <w:rsid w:val="005565C1"/>
    <w:rsid w:val="00557908"/>
    <w:rsid w:val="00560FA0"/>
    <w:rsid w:val="0056294D"/>
    <w:rsid w:val="00572589"/>
    <w:rsid w:val="00572906"/>
    <w:rsid w:val="005729DF"/>
    <w:rsid w:val="00574071"/>
    <w:rsid w:val="00575483"/>
    <w:rsid w:val="00575697"/>
    <w:rsid w:val="0058099B"/>
    <w:rsid w:val="00582A42"/>
    <w:rsid w:val="00583C45"/>
    <w:rsid w:val="00590AE5"/>
    <w:rsid w:val="00590CE4"/>
    <w:rsid w:val="00591624"/>
    <w:rsid w:val="005A46FD"/>
    <w:rsid w:val="005A5D79"/>
    <w:rsid w:val="005A60F7"/>
    <w:rsid w:val="005B2460"/>
    <w:rsid w:val="005B51EF"/>
    <w:rsid w:val="005B52B3"/>
    <w:rsid w:val="005B5DE5"/>
    <w:rsid w:val="005C1CB3"/>
    <w:rsid w:val="005C5BF4"/>
    <w:rsid w:val="005C7722"/>
    <w:rsid w:val="005D12C8"/>
    <w:rsid w:val="005D262A"/>
    <w:rsid w:val="005D355A"/>
    <w:rsid w:val="005E10E7"/>
    <w:rsid w:val="005E1AB6"/>
    <w:rsid w:val="005E2E5A"/>
    <w:rsid w:val="005E3203"/>
    <w:rsid w:val="005F022E"/>
    <w:rsid w:val="005F1E4E"/>
    <w:rsid w:val="005F5A0E"/>
    <w:rsid w:val="005F7807"/>
    <w:rsid w:val="00602413"/>
    <w:rsid w:val="00602878"/>
    <w:rsid w:val="00605519"/>
    <w:rsid w:val="00606F95"/>
    <w:rsid w:val="00610B16"/>
    <w:rsid w:val="006132C2"/>
    <w:rsid w:val="00614019"/>
    <w:rsid w:val="00616200"/>
    <w:rsid w:val="00626726"/>
    <w:rsid w:val="00631EF2"/>
    <w:rsid w:val="00634284"/>
    <w:rsid w:val="006344C1"/>
    <w:rsid w:val="00634FBC"/>
    <w:rsid w:val="006353AA"/>
    <w:rsid w:val="00640366"/>
    <w:rsid w:val="00642340"/>
    <w:rsid w:val="00644535"/>
    <w:rsid w:val="00646E7B"/>
    <w:rsid w:val="00647E30"/>
    <w:rsid w:val="006501F8"/>
    <w:rsid w:val="00654060"/>
    <w:rsid w:val="006541ED"/>
    <w:rsid w:val="00655D4E"/>
    <w:rsid w:val="00657123"/>
    <w:rsid w:val="00665694"/>
    <w:rsid w:val="00665D80"/>
    <w:rsid w:val="006663F0"/>
    <w:rsid w:val="006667C7"/>
    <w:rsid w:val="00672340"/>
    <w:rsid w:val="006729D6"/>
    <w:rsid w:val="00674618"/>
    <w:rsid w:val="00674EA7"/>
    <w:rsid w:val="00676668"/>
    <w:rsid w:val="006800A2"/>
    <w:rsid w:val="00681BE2"/>
    <w:rsid w:val="00682ABF"/>
    <w:rsid w:val="006878F5"/>
    <w:rsid w:val="00693AE3"/>
    <w:rsid w:val="0069409D"/>
    <w:rsid w:val="006A01BE"/>
    <w:rsid w:val="006A531D"/>
    <w:rsid w:val="006A57E8"/>
    <w:rsid w:val="006A6B52"/>
    <w:rsid w:val="006B20AE"/>
    <w:rsid w:val="006B4938"/>
    <w:rsid w:val="006B71EA"/>
    <w:rsid w:val="006B78E5"/>
    <w:rsid w:val="006C678F"/>
    <w:rsid w:val="006C77C2"/>
    <w:rsid w:val="006D2F1E"/>
    <w:rsid w:val="006D30DE"/>
    <w:rsid w:val="006D3CF0"/>
    <w:rsid w:val="006D5CC8"/>
    <w:rsid w:val="006D6FF7"/>
    <w:rsid w:val="006E05BA"/>
    <w:rsid w:val="006E0613"/>
    <w:rsid w:val="006E1ABC"/>
    <w:rsid w:val="006E359E"/>
    <w:rsid w:val="006E6DCE"/>
    <w:rsid w:val="006E6E83"/>
    <w:rsid w:val="006F026E"/>
    <w:rsid w:val="006F29D4"/>
    <w:rsid w:val="006F3FB2"/>
    <w:rsid w:val="006F7437"/>
    <w:rsid w:val="00700053"/>
    <w:rsid w:val="00700507"/>
    <w:rsid w:val="00701CEB"/>
    <w:rsid w:val="00705AB6"/>
    <w:rsid w:val="00706268"/>
    <w:rsid w:val="00710EEF"/>
    <w:rsid w:val="00712360"/>
    <w:rsid w:val="00713113"/>
    <w:rsid w:val="007132C7"/>
    <w:rsid w:val="0071673E"/>
    <w:rsid w:val="00721F47"/>
    <w:rsid w:val="00722D04"/>
    <w:rsid w:val="007231E4"/>
    <w:rsid w:val="00723647"/>
    <w:rsid w:val="00723BB1"/>
    <w:rsid w:val="0072738C"/>
    <w:rsid w:val="00730B39"/>
    <w:rsid w:val="00732F32"/>
    <w:rsid w:val="007370F1"/>
    <w:rsid w:val="007410B9"/>
    <w:rsid w:val="007414EC"/>
    <w:rsid w:val="00743559"/>
    <w:rsid w:val="007465A7"/>
    <w:rsid w:val="00751F5E"/>
    <w:rsid w:val="00752600"/>
    <w:rsid w:val="00753FF0"/>
    <w:rsid w:val="00756925"/>
    <w:rsid w:val="00757747"/>
    <w:rsid w:val="00761552"/>
    <w:rsid w:val="00765340"/>
    <w:rsid w:val="00766FCD"/>
    <w:rsid w:val="00770B02"/>
    <w:rsid w:val="00770C30"/>
    <w:rsid w:val="00772A7E"/>
    <w:rsid w:val="00776CDC"/>
    <w:rsid w:val="00781611"/>
    <w:rsid w:val="00782235"/>
    <w:rsid w:val="00785C6B"/>
    <w:rsid w:val="00786FBD"/>
    <w:rsid w:val="00787C2D"/>
    <w:rsid w:val="00790A8A"/>
    <w:rsid w:val="0079117A"/>
    <w:rsid w:val="007947A1"/>
    <w:rsid w:val="00797293"/>
    <w:rsid w:val="00797364"/>
    <w:rsid w:val="0079768F"/>
    <w:rsid w:val="007A4DDB"/>
    <w:rsid w:val="007B60EC"/>
    <w:rsid w:val="007C0849"/>
    <w:rsid w:val="007C56FF"/>
    <w:rsid w:val="007D151A"/>
    <w:rsid w:val="007D1CAD"/>
    <w:rsid w:val="007E3122"/>
    <w:rsid w:val="007E5310"/>
    <w:rsid w:val="007E5BA9"/>
    <w:rsid w:val="007F226B"/>
    <w:rsid w:val="007F24B7"/>
    <w:rsid w:val="007F3A27"/>
    <w:rsid w:val="007F5DB9"/>
    <w:rsid w:val="007F5ECE"/>
    <w:rsid w:val="008013EE"/>
    <w:rsid w:val="00801AD3"/>
    <w:rsid w:val="00815D44"/>
    <w:rsid w:val="008163EC"/>
    <w:rsid w:val="00816706"/>
    <w:rsid w:val="00822D46"/>
    <w:rsid w:val="00823147"/>
    <w:rsid w:val="00823319"/>
    <w:rsid w:val="008266FE"/>
    <w:rsid w:val="00834335"/>
    <w:rsid w:val="008409EB"/>
    <w:rsid w:val="00842164"/>
    <w:rsid w:val="00845CB5"/>
    <w:rsid w:val="00845E40"/>
    <w:rsid w:val="00861716"/>
    <w:rsid w:val="008677BC"/>
    <w:rsid w:val="008718F3"/>
    <w:rsid w:val="008742AE"/>
    <w:rsid w:val="008749D3"/>
    <w:rsid w:val="0088131D"/>
    <w:rsid w:val="008814E7"/>
    <w:rsid w:val="00881838"/>
    <w:rsid w:val="0088617D"/>
    <w:rsid w:val="00891299"/>
    <w:rsid w:val="008A14BC"/>
    <w:rsid w:val="008A23A1"/>
    <w:rsid w:val="008A62A2"/>
    <w:rsid w:val="008B1D86"/>
    <w:rsid w:val="008B56C1"/>
    <w:rsid w:val="008B5C10"/>
    <w:rsid w:val="008C02A7"/>
    <w:rsid w:val="008C041A"/>
    <w:rsid w:val="008C0C83"/>
    <w:rsid w:val="008C2C84"/>
    <w:rsid w:val="008D06AD"/>
    <w:rsid w:val="008D2773"/>
    <w:rsid w:val="008D34FA"/>
    <w:rsid w:val="008D53F7"/>
    <w:rsid w:val="008D5475"/>
    <w:rsid w:val="008D66F0"/>
    <w:rsid w:val="008E103E"/>
    <w:rsid w:val="008E1224"/>
    <w:rsid w:val="008E2431"/>
    <w:rsid w:val="008E6D37"/>
    <w:rsid w:val="008F1688"/>
    <w:rsid w:val="008F33BE"/>
    <w:rsid w:val="008F44DC"/>
    <w:rsid w:val="008F4B6B"/>
    <w:rsid w:val="0090074F"/>
    <w:rsid w:val="00902EF6"/>
    <w:rsid w:val="00903A43"/>
    <w:rsid w:val="009057DD"/>
    <w:rsid w:val="00912920"/>
    <w:rsid w:val="00913C83"/>
    <w:rsid w:val="0091525C"/>
    <w:rsid w:val="0092086C"/>
    <w:rsid w:val="0092429D"/>
    <w:rsid w:val="00924F6C"/>
    <w:rsid w:val="00935019"/>
    <w:rsid w:val="00936C5D"/>
    <w:rsid w:val="00942E50"/>
    <w:rsid w:val="009501A0"/>
    <w:rsid w:val="009524BB"/>
    <w:rsid w:val="009527CA"/>
    <w:rsid w:val="00955376"/>
    <w:rsid w:val="00965E52"/>
    <w:rsid w:val="00966CDB"/>
    <w:rsid w:val="0097530E"/>
    <w:rsid w:val="00976AFF"/>
    <w:rsid w:val="00977B65"/>
    <w:rsid w:val="009836BC"/>
    <w:rsid w:val="00983A55"/>
    <w:rsid w:val="00984263"/>
    <w:rsid w:val="00997265"/>
    <w:rsid w:val="009A00A5"/>
    <w:rsid w:val="009A00F4"/>
    <w:rsid w:val="009A0832"/>
    <w:rsid w:val="009A3929"/>
    <w:rsid w:val="009A3974"/>
    <w:rsid w:val="009A456F"/>
    <w:rsid w:val="009A57A2"/>
    <w:rsid w:val="009A7043"/>
    <w:rsid w:val="009B64D8"/>
    <w:rsid w:val="009B669C"/>
    <w:rsid w:val="009C180A"/>
    <w:rsid w:val="009C2936"/>
    <w:rsid w:val="009C51A7"/>
    <w:rsid w:val="009C5BAE"/>
    <w:rsid w:val="009C6449"/>
    <w:rsid w:val="009D1106"/>
    <w:rsid w:val="009D22D7"/>
    <w:rsid w:val="009D43DF"/>
    <w:rsid w:val="009D4EBF"/>
    <w:rsid w:val="009D6F3C"/>
    <w:rsid w:val="009E221B"/>
    <w:rsid w:val="009E35CD"/>
    <w:rsid w:val="009F08F6"/>
    <w:rsid w:val="009F1CA6"/>
    <w:rsid w:val="009F338D"/>
    <w:rsid w:val="009F78E0"/>
    <w:rsid w:val="00A01777"/>
    <w:rsid w:val="00A01D72"/>
    <w:rsid w:val="00A058CD"/>
    <w:rsid w:val="00A07549"/>
    <w:rsid w:val="00A07C45"/>
    <w:rsid w:val="00A100EB"/>
    <w:rsid w:val="00A20D29"/>
    <w:rsid w:val="00A273F8"/>
    <w:rsid w:val="00A30224"/>
    <w:rsid w:val="00A30E51"/>
    <w:rsid w:val="00A34528"/>
    <w:rsid w:val="00A3480A"/>
    <w:rsid w:val="00A34B2E"/>
    <w:rsid w:val="00A37577"/>
    <w:rsid w:val="00A41487"/>
    <w:rsid w:val="00A534ED"/>
    <w:rsid w:val="00A55E6A"/>
    <w:rsid w:val="00A64762"/>
    <w:rsid w:val="00A64EB0"/>
    <w:rsid w:val="00A66D7E"/>
    <w:rsid w:val="00A70B76"/>
    <w:rsid w:val="00A710BC"/>
    <w:rsid w:val="00A81721"/>
    <w:rsid w:val="00A81DD2"/>
    <w:rsid w:val="00A820C4"/>
    <w:rsid w:val="00A844FD"/>
    <w:rsid w:val="00A85618"/>
    <w:rsid w:val="00A945E8"/>
    <w:rsid w:val="00A9597C"/>
    <w:rsid w:val="00AA1442"/>
    <w:rsid w:val="00AA6461"/>
    <w:rsid w:val="00AA659B"/>
    <w:rsid w:val="00AB1449"/>
    <w:rsid w:val="00AB3B5E"/>
    <w:rsid w:val="00AB4DE9"/>
    <w:rsid w:val="00AB65CE"/>
    <w:rsid w:val="00AB65D0"/>
    <w:rsid w:val="00AC3849"/>
    <w:rsid w:val="00AC3B71"/>
    <w:rsid w:val="00AC3BF0"/>
    <w:rsid w:val="00AC4608"/>
    <w:rsid w:val="00AC5446"/>
    <w:rsid w:val="00AD0964"/>
    <w:rsid w:val="00AD0BFF"/>
    <w:rsid w:val="00AD7E62"/>
    <w:rsid w:val="00AD7EF4"/>
    <w:rsid w:val="00AE29E9"/>
    <w:rsid w:val="00AE4635"/>
    <w:rsid w:val="00AF06AF"/>
    <w:rsid w:val="00B01B4F"/>
    <w:rsid w:val="00B04148"/>
    <w:rsid w:val="00B06DB6"/>
    <w:rsid w:val="00B10AD6"/>
    <w:rsid w:val="00B1145C"/>
    <w:rsid w:val="00B120BC"/>
    <w:rsid w:val="00B1215E"/>
    <w:rsid w:val="00B125D7"/>
    <w:rsid w:val="00B150BE"/>
    <w:rsid w:val="00B16B16"/>
    <w:rsid w:val="00B17859"/>
    <w:rsid w:val="00B2163B"/>
    <w:rsid w:val="00B30397"/>
    <w:rsid w:val="00B32676"/>
    <w:rsid w:val="00B35409"/>
    <w:rsid w:val="00B369A7"/>
    <w:rsid w:val="00B37AD2"/>
    <w:rsid w:val="00B421D4"/>
    <w:rsid w:val="00B47555"/>
    <w:rsid w:val="00B539CC"/>
    <w:rsid w:val="00B55CBE"/>
    <w:rsid w:val="00B61E2A"/>
    <w:rsid w:val="00B6263B"/>
    <w:rsid w:val="00B62BB1"/>
    <w:rsid w:val="00B64120"/>
    <w:rsid w:val="00B66A3D"/>
    <w:rsid w:val="00B727D8"/>
    <w:rsid w:val="00B738F7"/>
    <w:rsid w:val="00B830B2"/>
    <w:rsid w:val="00B946F3"/>
    <w:rsid w:val="00B96EC2"/>
    <w:rsid w:val="00B9728F"/>
    <w:rsid w:val="00BA4791"/>
    <w:rsid w:val="00BA4A28"/>
    <w:rsid w:val="00BA6FFC"/>
    <w:rsid w:val="00BB7217"/>
    <w:rsid w:val="00BC0727"/>
    <w:rsid w:val="00BC2A7A"/>
    <w:rsid w:val="00BC302E"/>
    <w:rsid w:val="00BC32FB"/>
    <w:rsid w:val="00BC4E12"/>
    <w:rsid w:val="00BC57B8"/>
    <w:rsid w:val="00BC5B7C"/>
    <w:rsid w:val="00BC70FB"/>
    <w:rsid w:val="00BD23FB"/>
    <w:rsid w:val="00BD409D"/>
    <w:rsid w:val="00BD711F"/>
    <w:rsid w:val="00BE05E0"/>
    <w:rsid w:val="00BE2511"/>
    <w:rsid w:val="00BE5B61"/>
    <w:rsid w:val="00BE74D4"/>
    <w:rsid w:val="00BE7BA3"/>
    <w:rsid w:val="00BF01BA"/>
    <w:rsid w:val="00BF08F9"/>
    <w:rsid w:val="00BF37BB"/>
    <w:rsid w:val="00BF4ECA"/>
    <w:rsid w:val="00BF75C6"/>
    <w:rsid w:val="00C002AB"/>
    <w:rsid w:val="00C10808"/>
    <w:rsid w:val="00C12C54"/>
    <w:rsid w:val="00C1563A"/>
    <w:rsid w:val="00C15FC2"/>
    <w:rsid w:val="00C23644"/>
    <w:rsid w:val="00C25968"/>
    <w:rsid w:val="00C25C14"/>
    <w:rsid w:val="00C25F60"/>
    <w:rsid w:val="00C31070"/>
    <w:rsid w:val="00C32F03"/>
    <w:rsid w:val="00C34F46"/>
    <w:rsid w:val="00C34FB1"/>
    <w:rsid w:val="00C364F7"/>
    <w:rsid w:val="00C406BB"/>
    <w:rsid w:val="00C4260E"/>
    <w:rsid w:val="00C43BFC"/>
    <w:rsid w:val="00C46D99"/>
    <w:rsid w:val="00C524B0"/>
    <w:rsid w:val="00C52E51"/>
    <w:rsid w:val="00C55302"/>
    <w:rsid w:val="00C60BD7"/>
    <w:rsid w:val="00C64B0F"/>
    <w:rsid w:val="00C701C2"/>
    <w:rsid w:val="00C7485F"/>
    <w:rsid w:val="00C7713B"/>
    <w:rsid w:val="00C77E31"/>
    <w:rsid w:val="00C81C10"/>
    <w:rsid w:val="00C821EC"/>
    <w:rsid w:val="00C855C9"/>
    <w:rsid w:val="00C86D44"/>
    <w:rsid w:val="00C9281E"/>
    <w:rsid w:val="00C94672"/>
    <w:rsid w:val="00C9495E"/>
    <w:rsid w:val="00C955F2"/>
    <w:rsid w:val="00C964F7"/>
    <w:rsid w:val="00C9661D"/>
    <w:rsid w:val="00CB146F"/>
    <w:rsid w:val="00CB1FF0"/>
    <w:rsid w:val="00CB3E0B"/>
    <w:rsid w:val="00CB3F9D"/>
    <w:rsid w:val="00CC01D5"/>
    <w:rsid w:val="00CC4CEA"/>
    <w:rsid w:val="00CC59F1"/>
    <w:rsid w:val="00CD4B05"/>
    <w:rsid w:val="00CD603B"/>
    <w:rsid w:val="00CD67AC"/>
    <w:rsid w:val="00CD79C5"/>
    <w:rsid w:val="00CE314D"/>
    <w:rsid w:val="00CE4D87"/>
    <w:rsid w:val="00CF0F6C"/>
    <w:rsid w:val="00CF2ACF"/>
    <w:rsid w:val="00CF3415"/>
    <w:rsid w:val="00CF41ED"/>
    <w:rsid w:val="00CF43CC"/>
    <w:rsid w:val="00CF5E81"/>
    <w:rsid w:val="00D01A50"/>
    <w:rsid w:val="00D022B5"/>
    <w:rsid w:val="00D037DD"/>
    <w:rsid w:val="00D04C91"/>
    <w:rsid w:val="00D06737"/>
    <w:rsid w:val="00D12E40"/>
    <w:rsid w:val="00D15506"/>
    <w:rsid w:val="00D16508"/>
    <w:rsid w:val="00D17EA3"/>
    <w:rsid w:val="00D21EBE"/>
    <w:rsid w:val="00D21FC6"/>
    <w:rsid w:val="00D25DCF"/>
    <w:rsid w:val="00D3194A"/>
    <w:rsid w:val="00D31CA0"/>
    <w:rsid w:val="00D324D2"/>
    <w:rsid w:val="00D34E07"/>
    <w:rsid w:val="00D34F6E"/>
    <w:rsid w:val="00D40F8E"/>
    <w:rsid w:val="00D42284"/>
    <w:rsid w:val="00D461E5"/>
    <w:rsid w:val="00D51100"/>
    <w:rsid w:val="00D51502"/>
    <w:rsid w:val="00D538E6"/>
    <w:rsid w:val="00D61216"/>
    <w:rsid w:val="00D63BA3"/>
    <w:rsid w:val="00D63C9B"/>
    <w:rsid w:val="00D6550A"/>
    <w:rsid w:val="00D67CFC"/>
    <w:rsid w:val="00D71985"/>
    <w:rsid w:val="00D72166"/>
    <w:rsid w:val="00D728BB"/>
    <w:rsid w:val="00D72BFE"/>
    <w:rsid w:val="00D74857"/>
    <w:rsid w:val="00D75F82"/>
    <w:rsid w:val="00D8148B"/>
    <w:rsid w:val="00D81CB5"/>
    <w:rsid w:val="00D852CD"/>
    <w:rsid w:val="00D857C6"/>
    <w:rsid w:val="00D8731B"/>
    <w:rsid w:val="00D91837"/>
    <w:rsid w:val="00D91E23"/>
    <w:rsid w:val="00D9261A"/>
    <w:rsid w:val="00D92913"/>
    <w:rsid w:val="00D94AF9"/>
    <w:rsid w:val="00D97E08"/>
    <w:rsid w:val="00DA24CA"/>
    <w:rsid w:val="00DA24D3"/>
    <w:rsid w:val="00DA4986"/>
    <w:rsid w:val="00DA5DDC"/>
    <w:rsid w:val="00DB007F"/>
    <w:rsid w:val="00DB12B3"/>
    <w:rsid w:val="00DB1344"/>
    <w:rsid w:val="00DB2948"/>
    <w:rsid w:val="00DB2FB7"/>
    <w:rsid w:val="00DB51B1"/>
    <w:rsid w:val="00DB5A44"/>
    <w:rsid w:val="00DC00ED"/>
    <w:rsid w:val="00DC0111"/>
    <w:rsid w:val="00DC02E2"/>
    <w:rsid w:val="00DC64CF"/>
    <w:rsid w:val="00DD0748"/>
    <w:rsid w:val="00DD0A85"/>
    <w:rsid w:val="00DD679B"/>
    <w:rsid w:val="00DD6AD3"/>
    <w:rsid w:val="00DD78B2"/>
    <w:rsid w:val="00DE0277"/>
    <w:rsid w:val="00DE2110"/>
    <w:rsid w:val="00DE4571"/>
    <w:rsid w:val="00DE4977"/>
    <w:rsid w:val="00DE5134"/>
    <w:rsid w:val="00DE676D"/>
    <w:rsid w:val="00DF21C2"/>
    <w:rsid w:val="00E006CA"/>
    <w:rsid w:val="00E11816"/>
    <w:rsid w:val="00E1375C"/>
    <w:rsid w:val="00E1449B"/>
    <w:rsid w:val="00E15755"/>
    <w:rsid w:val="00E27901"/>
    <w:rsid w:val="00E307FF"/>
    <w:rsid w:val="00E320E8"/>
    <w:rsid w:val="00E32B26"/>
    <w:rsid w:val="00E33D82"/>
    <w:rsid w:val="00E358FE"/>
    <w:rsid w:val="00E37D95"/>
    <w:rsid w:val="00E37F82"/>
    <w:rsid w:val="00E43A72"/>
    <w:rsid w:val="00E45455"/>
    <w:rsid w:val="00E509EA"/>
    <w:rsid w:val="00E51995"/>
    <w:rsid w:val="00E537D5"/>
    <w:rsid w:val="00E53DE9"/>
    <w:rsid w:val="00E55CAE"/>
    <w:rsid w:val="00E56110"/>
    <w:rsid w:val="00E6527A"/>
    <w:rsid w:val="00E67465"/>
    <w:rsid w:val="00E71EA3"/>
    <w:rsid w:val="00E81038"/>
    <w:rsid w:val="00E8191D"/>
    <w:rsid w:val="00E82FAE"/>
    <w:rsid w:val="00E83664"/>
    <w:rsid w:val="00E85C6C"/>
    <w:rsid w:val="00E91440"/>
    <w:rsid w:val="00E92C38"/>
    <w:rsid w:val="00E92E54"/>
    <w:rsid w:val="00E93701"/>
    <w:rsid w:val="00E97EEB"/>
    <w:rsid w:val="00EA13BA"/>
    <w:rsid w:val="00EA1F76"/>
    <w:rsid w:val="00EA256B"/>
    <w:rsid w:val="00EA52C9"/>
    <w:rsid w:val="00EB11AA"/>
    <w:rsid w:val="00EB4179"/>
    <w:rsid w:val="00EB73CB"/>
    <w:rsid w:val="00EB78C7"/>
    <w:rsid w:val="00EC05F8"/>
    <w:rsid w:val="00EC1910"/>
    <w:rsid w:val="00EC44EA"/>
    <w:rsid w:val="00EC6A3A"/>
    <w:rsid w:val="00EC79FE"/>
    <w:rsid w:val="00EC7DDD"/>
    <w:rsid w:val="00ED1A65"/>
    <w:rsid w:val="00ED506F"/>
    <w:rsid w:val="00ED69BF"/>
    <w:rsid w:val="00EE0A5E"/>
    <w:rsid w:val="00EE6A8F"/>
    <w:rsid w:val="00EF587C"/>
    <w:rsid w:val="00F06499"/>
    <w:rsid w:val="00F0743C"/>
    <w:rsid w:val="00F121F1"/>
    <w:rsid w:val="00F12E7D"/>
    <w:rsid w:val="00F174C2"/>
    <w:rsid w:val="00F17F8D"/>
    <w:rsid w:val="00F242DB"/>
    <w:rsid w:val="00F26693"/>
    <w:rsid w:val="00F316CF"/>
    <w:rsid w:val="00F31726"/>
    <w:rsid w:val="00F34EFB"/>
    <w:rsid w:val="00F34FAC"/>
    <w:rsid w:val="00F3648F"/>
    <w:rsid w:val="00F36767"/>
    <w:rsid w:val="00F4051E"/>
    <w:rsid w:val="00F427B0"/>
    <w:rsid w:val="00F431DC"/>
    <w:rsid w:val="00F44BC8"/>
    <w:rsid w:val="00F51DA2"/>
    <w:rsid w:val="00F57C81"/>
    <w:rsid w:val="00F618D2"/>
    <w:rsid w:val="00F62EFA"/>
    <w:rsid w:val="00F63B6A"/>
    <w:rsid w:val="00F71265"/>
    <w:rsid w:val="00F722E4"/>
    <w:rsid w:val="00F73B1B"/>
    <w:rsid w:val="00F755D9"/>
    <w:rsid w:val="00F763EB"/>
    <w:rsid w:val="00F77C11"/>
    <w:rsid w:val="00F81173"/>
    <w:rsid w:val="00F81E0E"/>
    <w:rsid w:val="00F84B02"/>
    <w:rsid w:val="00F86AAB"/>
    <w:rsid w:val="00F915BA"/>
    <w:rsid w:val="00F93524"/>
    <w:rsid w:val="00F952F1"/>
    <w:rsid w:val="00F95AC5"/>
    <w:rsid w:val="00F965DA"/>
    <w:rsid w:val="00FA0617"/>
    <w:rsid w:val="00FA0F3F"/>
    <w:rsid w:val="00FA1977"/>
    <w:rsid w:val="00FA6204"/>
    <w:rsid w:val="00FA6C47"/>
    <w:rsid w:val="00FA7C2D"/>
    <w:rsid w:val="00FB3A49"/>
    <w:rsid w:val="00FC12C0"/>
    <w:rsid w:val="00FC3DA9"/>
    <w:rsid w:val="00FC796A"/>
    <w:rsid w:val="00FD1459"/>
    <w:rsid w:val="00FD1AFD"/>
    <w:rsid w:val="00FE33BD"/>
    <w:rsid w:val="00FE4AEC"/>
    <w:rsid w:val="00FE4CEB"/>
    <w:rsid w:val="00FE7CAD"/>
    <w:rsid w:val="00FF33B9"/>
    <w:rsid w:val="00FF3415"/>
    <w:rsid w:val="00FF41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97F48"/>
  <w15:docId w15:val="{AB961DF4-931D-4CC4-9E76-8C2A448D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11EE-E94B-48C2-B58D-E7B6FFF2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3753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Хмелева Мария Олеговна</cp:lastModifiedBy>
  <cp:revision>11</cp:revision>
  <cp:lastPrinted>2018-09-03T09:49:00Z</cp:lastPrinted>
  <dcterms:created xsi:type="dcterms:W3CDTF">2018-09-05T09:06:00Z</dcterms:created>
  <dcterms:modified xsi:type="dcterms:W3CDTF">2018-10-26T02:14:00Z</dcterms:modified>
</cp:coreProperties>
</file>