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FE" w:rsidRDefault="00BE0EE4">
      <w:pPr>
        <w:pStyle w:val="af3"/>
        <w:jc w:val="right"/>
        <w:rPr>
          <w:rFonts w:ascii="Times New Roman" w:hAnsi="Times New Roman" w:cs="Times New Roman"/>
          <w:sz w:val="28"/>
          <w:szCs w:val="28"/>
        </w:rPr>
      </w:pPr>
      <w:r>
        <w:rPr>
          <w:rFonts w:ascii="Times New Roman" w:hAnsi="Times New Roman" w:cs="Times New Roman"/>
          <w:sz w:val="28"/>
          <w:szCs w:val="28"/>
        </w:rPr>
        <w:t>Проект</w:t>
      </w:r>
    </w:p>
    <w:p w:rsidR="000804FE" w:rsidRDefault="00BE0EE4">
      <w:pPr>
        <w:pStyle w:val="af3"/>
        <w:jc w:val="right"/>
        <w:rPr>
          <w:rFonts w:ascii="Times New Roman" w:hAnsi="Times New Roman" w:cs="Times New Roman"/>
          <w:sz w:val="28"/>
          <w:szCs w:val="28"/>
        </w:rPr>
      </w:pPr>
      <w:r>
        <w:rPr>
          <w:rFonts w:ascii="Times New Roman" w:hAnsi="Times New Roman" w:cs="Times New Roman"/>
          <w:sz w:val="28"/>
          <w:szCs w:val="28"/>
        </w:rPr>
        <w:t xml:space="preserve"> постановления Губернатора </w:t>
      </w:r>
    </w:p>
    <w:p w:rsidR="000804FE" w:rsidRDefault="00BE0EE4">
      <w:pPr>
        <w:pStyle w:val="af3"/>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804FE" w:rsidRDefault="000804FE">
      <w:pPr>
        <w:pStyle w:val="af3"/>
        <w:jc w:val="center"/>
        <w:rPr>
          <w:rFonts w:ascii="Times New Roman" w:hAnsi="Times New Roman" w:cs="Times New Roman"/>
          <w:sz w:val="28"/>
          <w:szCs w:val="28"/>
        </w:rPr>
      </w:pPr>
    </w:p>
    <w:p w:rsidR="000804FE" w:rsidRDefault="000804FE">
      <w:pPr>
        <w:pStyle w:val="af3"/>
        <w:jc w:val="center"/>
        <w:rPr>
          <w:rFonts w:ascii="Times New Roman" w:hAnsi="Times New Roman" w:cs="Times New Roman"/>
          <w:sz w:val="28"/>
          <w:szCs w:val="28"/>
        </w:rPr>
      </w:pPr>
    </w:p>
    <w:p w:rsidR="000804FE" w:rsidRDefault="000804FE">
      <w:pPr>
        <w:pStyle w:val="af3"/>
        <w:jc w:val="center"/>
        <w:rPr>
          <w:rFonts w:ascii="Times New Roman" w:hAnsi="Times New Roman" w:cs="Times New Roman"/>
          <w:sz w:val="28"/>
          <w:szCs w:val="28"/>
        </w:rPr>
      </w:pPr>
    </w:p>
    <w:p w:rsidR="000804FE" w:rsidRDefault="000804FE">
      <w:pPr>
        <w:pStyle w:val="af3"/>
        <w:jc w:val="center"/>
        <w:rPr>
          <w:rFonts w:ascii="Times New Roman" w:hAnsi="Times New Roman" w:cs="Times New Roman"/>
          <w:sz w:val="28"/>
          <w:szCs w:val="28"/>
        </w:rPr>
      </w:pPr>
    </w:p>
    <w:p w:rsidR="000804FE" w:rsidRDefault="000804FE">
      <w:pPr>
        <w:jc w:val="center"/>
        <w:rPr>
          <w:color w:val="000000"/>
          <w:sz w:val="28"/>
          <w:szCs w:val="28"/>
        </w:rPr>
      </w:pPr>
    </w:p>
    <w:p w:rsidR="000804FE" w:rsidRDefault="000804FE">
      <w:pPr>
        <w:jc w:val="center"/>
        <w:rPr>
          <w:color w:val="000000"/>
          <w:sz w:val="28"/>
          <w:szCs w:val="28"/>
        </w:rPr>
      </w:pPr>
    </w:p>
    <w:p w:rsidR="00B14776" w:rsidRDefault="00B14776">
      <w:pPr>
        <w:jc w:val="center"/>
        <w:rPr>
          <w:color w:val="000000"/>
          <w:sz w:val="28"/>
          <w:szCs w:val="28"/>
        </w:rPr>
      </w:pPr>
    </w:p>
    <w:p w:rsidR="00B14776" w:rsidRDefault="00B14776">
      <w:pPr>
        <w:jc w:val="center"/>
        <w:rPr>
          <w:color w:val="000000"/>
          <w:sz w:val="28"/>
          <w:szCs w:val="28"/>
        </w:rPr>
      </w:pPr>
    </w:p>
    <w:p w:rsidR="00B14776" w:rsidRDefault="00B14776">
      <w:pPr>
        <w:jc w:val="center"/>
        <w:rPr>
          <w:color w:val="000000"/>
          <w:sz w:val="28"/>
          <w:szCs w:val="28"/>
        </w:rPr>
      </w:pPr>
    </w:p>
    <w:p w:rsidR="000804FE" w:rsidRDefault="00BE0EE4" w:rsidP="00B14776">
      <w:pPr>
        <w:jc w:val="center"/>
        <w:rPr>
          <w:color w:val="000000" w:themeColor="text1"/>
          <w:sz w:val="28"/>
          <w:szCs w:val="28"/>
        </w:rPr>
      </w:pPr>
      <w:r>
        <w:rPr>
          <w:color w:val="000000" w:themeColor="text1"/>
          <w:sz w:val="28"/>
          <w:szCs w:val="28"/>
        </w:rPr>
        <w:t>О внесении изменения в постановление Губернатора Новосибирской области от 28.07.2022 № 136</w:t>
      </w:r>
    </w:p>
    <w:p w:rsidR="000804FE" w:rsidRDefault="000804FE">
      <w:pPr>
        <w:pStyle w:val="af3"/>
        <w:jc w:val="both"/>
        <w:rPr>
          <w:rFonts w:ascii="Times New Roman" w:hAnsi="Times New Roman" w:cs="Times New Roman"/>
          <w:color w:val="000000" w:themeColor="text1"/>
          <w:sz w:val="28"/>
          <w:szCs w:val="28"/>
        </w:rPr>
      </w:pPr>
    </w:p>
    <w:p w:rsidR="00B14776" w:rsidRDefault="00B14776">
      <w:pPr>
        <w:pStyle w:val="af3"/>
        <w:jc w:val="both"/>
        <w:rPr>
          <w:rFonts w:ascii="Times New Roman" w:hAnsi="Times New Roman" w:cs="Times New Roman"/>
          <w:color w:val="000000" w:themeColor="text1"/>
          <w:sz w:val="28"/>
          <w:szCs w:val="28"/>
        </w:rPr>
      </w:pPr>
    </w:p>
    <w:p w:rsidR="00B14776" w:rsidRDefault="00B14776">
      <w:pPr>
        <w:pStyle w:val="af3"/>
        <w:jc w:val="both"/>
        <w:rPr>
          <w:rFonts w:ascii="Times New Roman" w:hAnsi="Times New Roman" w:cs="Times New Roman"/>
          <w:color w:val="000000" w:themeColor="text1"/>
          <w:sz w:val="28"/>
          <w:szCs w:val="28"/>
        </w:rPr>
      </w:pPr>
    </w:p>
    <w:p w:rsidR="000804FE" w:rsidRDefault="00BE0EE4">
      <w:pPr>
        <w:ind w:firstLine="567"/>
        <w:contextualSpacing/>
        <w:jc w:val="both"/>
        <w:rPr>
          <w:color w:val="000000" w:themeColor="text1"/>
          <w:sz w:val="28"/>
          <w:szCs w:val="28"/>
        </w:rPr>
      </w:pPr>
      <w:r>
        <w:rPr>
          <w:b/>
          <w:color w:val="000000" w:themeColor="text1"/>
          <w:sz w:val="28"/>
          <w:szCs w:val="28"/>
        </w:rPr>
        <w:t>П о с </w:t>
      </w:r>
      <w:proofErr w:type="gramStart"/>
      <w:r>
        <w:rPr>
          <w:b/>
          <w:color w:val="000000" w:themeColor="text1"/>
          <w:sz w:val="28"/>
          <w:szCs w:val="28"/>
        </w:rPr>
        <w:t>т</w:t>
      </w:r>
      <w:proofErr w:type="gramEnd"/>
      <w:r>
        <w:rPr>
          <w:b/>
          <w:color w:val="000000" w:themeColor="text1"/>
          <w:sz w:val="28"/>
          <w:szCs w:val="28"/>
        </w:rPr>
        <w:t> а н о в л я ю</w:t>
      </w:r>
      <w:r>
        <w:rPr>
          <w:color w:val="000000" w:themeColor="text1"/>
          <w:sz w:val="28"/>
          <w:szCs w:val="28"/>
        </w:rPr>
        <w:t>:</w:t>
      </w:r>
    </w:p>
    <w:p w:rsidR="000804FE" w:rsidRDefault="00BE0EE4">
      <w:pPr>
        <w:tabs>
          <w:tab w:val="left" w:pos="851"/>
        </w:tabs>
        <w:ind w:firstLine="567"/>
        <w:jc w:val="both"/>
        <w:rPr>
          <w:color w:val="000000" w:themeColor="text1"/>
          <w:sz w:val="28"/>
          <w:szCs w:val="28"/>
        </w:rPr>
      </w:pPr>
      <w:r>
        <w:rPr>
          <w:color w:val="000000" w:themeColor="text1"/>
          <w:sz w:val="28"/>
          <w:szCs w:val="28"/>
        </w:rPr>
        <w:t>Внести в постановление Губер</w:t>
      </w:r>
      <w:r w:rsidR="00514D87">
        <w:rPr>
          <w:color w:val="000000" w:themeColor="text1"/>
          <w:sz w:val="28"/>
          <w:szCs w:val="28"/>
        </w:rPr>
        <w:t>натора Новосибирской области от </w:t>
      </w:r>
      <w:r>
        <w:rPr>
          <w:color w:val="000000" w:themeColor="text1"/>
          <w:sz w:val="28"/>
          <w:szCs w:val="28"/>
        </w:rPr>
        <w:t>28.07.2022 № 136 «О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w:t>
      </w:r>
      <w:r w:rsidR="00E62451">
        <w:rPr>
          <w:color w:val="000000" w:themeColor="text1"/>
          <w:sz w:val="28"/>
          <w:szCs w:val="28"/>
        </w:rPr>
        <w:t xml:space="preserve"> Новосибирской области» следующи</w:t>
      </w:r>
      <w:r>
        <w:rPr>
          <w:color w:val="000000" w:themeColor="text1"/>
          <w:sz w:val="28"/>
          <w:szCs w:val="28"/>
        </w:rPr>
        <w:t>е изме</w:t>
      </w:r>
      <w:r w:rsidR="00E62451">
        <w:rPr>
          <w:color w:val="000000" w:themeColor="text1"/>
          <w:sz w:val="28"/>
          <w:szCs w:val="28"/>
        </w:rPr>
        <w:t>нения</w:t>
      </w:r>
      <w:r>
        <w:rPr>
          <w:color w:val="000000" w:themeColor="text1"/>
          <w:sz w:val="28"/>
          <w:szCs w:val="28"/>
        </w:rPr>
        <w:t>:</w:t>
      </w:r>
    </w:p>
    <w:p w:rsidR="000804FE" w:rsidRDefault="00E62451">
      <w:pPr>
        <w:tabs>
          <w:tab w:val="left" w:pos="851"/>
        </w:tabs>
        <w:ind w:firstLine="567"/>
        <w:jc w:val="both"/>
        <w:rPr>
          <w:color w:val="000000" w:themeColor="text1"/>
          <w:sz w:val="28"/>
          <w:szCs w:val="28"/>
        </w:rPr>
      </w:pPr>
      <w:r>
        <w:rPr>
          <w:color w:val="000000" w:themeColor="text1"/>
          <w:sz w:val="28"/>
          <w:szCs w:val="28"/>
        </w:rPr>
        <w:t>В Поряд</w:t>
      </w:r>
      <w:r w:rsidR="00BE0EE4">
        <w:rPr>
          <w:color w:val="000000" w:themeColor="text1"/>
          <w:sz w:val="28"/>
          <w:szCs w:val="28"/>
        </w:rPr>
        <w:t>к</w:t>
      </w:r>
      <w:r>
        <w:rPr>
          <w:color w:val="000000" w:themeColor="text1"/>
          <w:sz w:val="28"/>
          <w:szCs w:val="28"/>
        </w:rPr>
        <w:t>е</w:t>
      </w:r>
      <w:r w:rsidR="00BE0EE4">
        <w:rPr>
          <w:color w:val="000000" w:themeColor="text1"/>
          <w:sz w:val="28"/>
          <w:szCs w:val="28"/>
        </w:rPr>
        <w:t xml:space="preserve">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w:t>
      </w:r>
      <w:r>
        <w:rPr>
          <w:color w:val="000000" w:themeColor="text1"/>
          <w:sz w:val="28"/>
          <w:szCs w:val="28"/>
        </w:rPr>
        <w:t>вых актов Новосибирской области:</w:t>
      </w:r>
    </w:p>
    <w:p w:rsidR="00B65452" w:rsidRPr="00B65452" w:rsidRDefault="00B65452" w:rsidP="00B65452">
      <w:pPr>
        <w:tabs>
          <w:tab w:val="left" w:pos="851"/>
        </w:tabs>
        <w:ind w:firstLine="567"/>
        <w:jc w:val="both"/>
        <w:rPr>
          <w:color w:val="000000" w:themeColor="text1"/>
          <w:sz w:val="28"/>
          <w:szCs w:val="28"/>
        </w:rPr>
      </w:pPr>
      <w:r w:rsidRPr="00B65452">
        <w:rPr>
          <w:color w:val="000000" w:themeColor="text1"/>
          <w:sz w:val="28"/>
          <w:szCs w:val="28"/>
        </w:rPr>
        <w:t>1. Абзац третий пункта 11 изложить в следующей редакции:</w:t>
      </w:r>
    </w:p>
    <w:p w:rsidR="00B65452" w:rsidRDefault="00B65452" w:rsidP="00B65452">
      <w:pPr>
        <w:tabs>
          <w:tab w:val="left" w:pos="851"/>
        </w:tabs>
        <w:ind w:firstLine="567"/>
        <w:jc w:val="both"/>
        <w:rPr>
          <w:color w:val="000000" w:themeColor="text1"/>
          <w:sz w:val="28"/>
          <w:szCs w:val="28"/>
        </w:rPr>
      </w:pPr>
      <w:r w:rsidRPr="00B65452">
        <w:rPr>
          <w:color w:val="000000" w:themeColor="text1"/>
          <w:sz w:val="28"/>
          <w:szCs w:val="28"/>
        </w:rPr>
        <w:t>«</w:t>
      </w:r>
      <w:r w:rsidRPr="00B65452">
        <w:rPr>
          <w:sz w:val="28"/>
          <w:szCs w:val="28"/>
        </w:rPr>
        <w:t>По результатам оценки применения обязательных требований срок действия нормативного правового акта, содержащего обязательные требования, может быть продлен не более чем на шесть лет.</w:t>
      </w:r>
      <w:r w:rsidRPr="00B65452">
        <w:rPr>
          <w:color w:val="000000" w:themeColor="text1"/>
          <w:sz w:val="28"/>
          <w:szCs w:val="28"/>
        </w:rPr>
        <w:t>»</w:t>
      </w:r>
      <w:r>
        <w:rPr>
          <w:color w:val="000000" w:themeColor="text1"/>
          <w:sz w:val="28"/>
          <w:szCs w:val="28"/>
        </w:rPr>
        <w:t>.</w:t>
      </w:r>
    </w:p>
    <w:p w:rsidR="00B65452" w:rsidRDefault="00B65452" w:rsidP="00B65452">
      <w:pPr>
        <w:tabs>
          <w:tab w:val="left" w:pos="851"/>
        </w:tabs>
        <w:ind w:firstLine="567"/>
        <w:jc w:val="both"/>
        <w:rPr>
          <w:color w:val="000000" w:themeColor="text1"/>
          <w:sz w:val="28"/>
          <w:szCs w:val="28"/>
        </w:rPr>
      </w:pPr>
      <w:r>
        <w:rPr>
          <w:color w:val="000000" w:themeColor="text1"/>
          <w:sz w:val="28"/>
          <w:szCs w:val="28"/>
        </w:rPr>
        <w:t>2. В пункте 17:</w:t>
      </w:r>
    </w:p>
    <w:p w:rsidR="00B65452" w:rsidRDefault="00B65452" w:rsidP="00B65452">
      <w:pPr>
        <w:tabs>
          <w:tab w:val="left" w:pos="851"/>
        </w:tabs>
        <w:ind w:firstLine="567"/>
        <w:jc w:val="both"/>
        <w:rPr>
          <w:color w:val="000000" w:themeColor="text1"/>
          <w:sz w:val="28"/>
          <w:szCs w:val="28"/>
        </w:rPr>
      </w:pPr>
      <w:r>
        <w:rPr>
          <w:color w:val="000000" w:themeColor="text1"/>
          <w:sz w:val="28"/>
          <w:szCs w:val="28"/>
        </w:rPr>
        <w:t>1) подпункт 2 изложить в следующей редакции:</w:t>
      </w:r>
    </w:p>
    <w:p w:rsidR="00B65452" w:rsidRPr="00B65452" w:rsidRDefault="00B65452" w:rsidP="00B65452">
      <w:pPr>
        <w:tabs>
          <w:tab w:val="left" w:pos="851"/>
        </w:tabs>
        <w:ind w:firstLine="567"/>
        <w:jc w:val="both"/>
        <w:rPr>
          <w:color w:val="000000" w:themeColor="text1"/>
          <w:sz w:val="28"/>
          <w:szCs w:val="28"/>
        </w:rPr>
      </w:pPr>
      <w:r>
        <w:rPr>
          <w:color w:val="000000" w:themeColor="text1"/>
          <w:sz w:val="28"/>
          <w:szCs w:val="28"/>
        </w:rPr>
        <w:t>«2) </w:t>
      </w:r>
      <w:r w:rsidRPr="00B65452">
        <w:rPr>
          <w:color w:val="000000" w:themeColor="text1"/>
          <w:sz w:val="28"/>
          <w:szCs w:val="28"/>
        </w:rPr>
        <w:t>оценка фактического воздействия нормативного правового акта Новосибирской области, содержащего обязательные требования, уполномоченным органом (далее - оценка фактического воздействия), по результатам проведения которой уполномоченным органом делаются выводы о необходимости;</w:t>
      </w:r>
    </w:p>
    <w:p w:rsidR="00B65452" w:rsidRPr="00B65452" w:rsidRDefault="00B65452" w:rsidP="00B65452">
      <w:pPr>
        <w:tabs>
          <w:tab w:val="left" w:pos="851"/>
        </w:tabs>
        <w:ind w:firstLine="567"/>
        <w:jc w:val="both"/>
        <w:rPr>
          <w:color w:val="000000" w:themeColor="text1"/>
          <w:sz w:val="28"/>
          <w:szCs w:val="28"/>
        </w:rPr>
      </w:pPr>
      <w:r>
        <w:rPr>
          <w:color w:val="000000" w:themeColor="text1"/>
          <w:sz w:val="28"/>
          <w:szCs w:val="28"/>
        </w:rPr>
        <w:t>а) </w:t>
      </w:r>
      <w:r w:rsidRPr="00B65452">
        <w:rPr>
          <w:color w:val="000000" w:themeColor="text1"/>
          <w:sz w:val="28"/>
          <w:szCs w:val="28"/>
        </w:rPr>
        <w:t>установления срока действия нормативного правового акта Новосибирской области, содержащего обязательные требования (его отдельных положений), в случае, предусмотренном абзацем четвертым пункта 11 Порядка;</w:t>
      </w:r>
    </w:p>
    <w:p w:rsidR="00B65452" w:rsidRPr="00B65452" w:rsidRDefault="00B65452" w:rsidP="00B65452">
      <w:pPr>
        <w:tabs>
          <w:tab w:val="left" w:pos="851"/>
        </w:tabs>
        <w:ind w:firstLine="567"/>
        <w:jc w:val="both"/>
        <w:rPr>
          <w:color w:val="000000" w:themeColor="text1"/>
          <w:sz w:val="28"/>
          <w:szCs w:val="28"/>
        </w:rPr>
      </w:pPr>
      <w:r>
        <w:rPr>
          <w:color w:val="000000" w:themeColor="text1"/>
          <w:sz w:val="28"/>
          <w:szCs w:val="28"/>
        </w:rPr>
        <w:t>б) </w:t>
      </w:r>
      <w:r w:rsidRPr="00B65452">
        <w:rPr>
          <w:color w:val="000000" w:themeColor="text1"/>
          <w:sz w:val="28"/>
          <w:szCs w:val="28"/>
        </w:rPr>
        <w:t>продления срока действия нормативного правового акта Новосибирской области, содержащего обязательные требования (его отдельных положений);</w:t>
      </w:r>
    </w:p>
    <w:p w:rsidR="00B65452" w:rsidRPr="00B65452" w:rsidRDefault="00B65452" w:rsidP="00B65452">
      <w:pPr>
        <w:tabs>
          <w:tab w:val="left" w:pos="851"/>
        </w:tabs>
        <w:ind w:firstLine="567"/>
        <w:jc w:val="both"/>
        <w:rPr>
          <w:color w:val="000000" w:themeColor="text1"/>
          <w:sz w:val="28"/>
          <w:szCs w:val="28"/>
        </w:rPr>
      </w:pPr>
      <w:r>
        <w:rPr>
          <w:color w:val="000000" w:themeColor="text1"/>
          <w:sz w:val="28"/>
          <w:szCs w:val="28"/>
        </w:rPr>
        <w:t>в) </w:t>
      </w:r>
      <w:r w:rsidRPr="00B65452">
        <w:rPr>
          <w:color w:val="000000" w:themeColor="text1"/>
          <w:sz w:val="28"/>
          <w:szCs w:val="28"/>
        </w:rPr>
        <w:t>внесения изменений в нормативный правовой акт Новосибирской области, содержащий обязательные требования (его отдельные положения), и продления срока его действия (срока действия его отдельных положений);</w:t>
      </w:r>
    </w:p>
    <w:p w:rsidR="00B65452" w:rsidRPr="00B65452" w:rsidRDefault="00B65452" w:rsidP="00B65452">
      <w:pPr>
        <w:tabs>
          <w:tab w:val="left" w:pos="851"/>
        </w:tabs>
        <w:ind w:firstLine="567"/>
        <w:jc w:val="both"/>
        <w:rPr>
          <w:color w:val="000000" w:themeColor="text1"/>
          <w:sz w:val="28"/>
          <w:szCs w:val="28"/>
        </w:rPr>
      </w:pPr>
      <w:r>
        <w:rPr>
          <w:color w:val="000000" w:themeColor="text1"/>
          <w:sz w:val="28"/>
          <w:szCs w:val="28"/>
        </w:rPr>
        <w:t>г) </w:t>
      </w:r>
      <w:r w:rsidRPr="00B65452">
        <w:rPr>
          <w:color w:val="000000" w:themeColor="text1"/>
          <w:sz w:val="28"/>
          <w:szCs w:val="28"/>
        </w:rPr>
        <w:t xml:space="preserve">об отсутствии необходимости продления срока действия нормативного правового акта Новосибирской области, содержащего обязательные требования </w:t>
      </w:r>
      <w:r w:rsidRPr="00B65452">
        <w:rPr>
          <w:color w:val="000000" w:themeColor="text1"/>
          <w:sz w:val="28"/>
          <w:szCs w:val="28"/>
        </w:rPr>
        <w:lastRenderedPageBreak/>
        <w:t>(его отдельных положений), и внесения изменений в нормативный правовой акт Новосибирской области, содержащий обязательные требования (его отдельные положения);</w:t>
      </w:r>
    </w:p>
    <w:p w:rsidR="00B65452" w:rsidRPr="00B65452" w:rsidRDefault="00B65452" w:rsidP="00B65452">
      <w:pPr>
        <w:tabs>
          <w:tab w:val="left" w:pos="851"/>
        </w:tabs>
        <w:ind w:firstLine="567"/>
        <w:jc w:val="both"/>
        <w:rPr>
          <w:color w:val="000000" w:themeColor="text1"/>
          <w:sz w:val="28"/>
          <w:szCs w:val="28"/>
        </w:rPr>
      </w:pPr>
      <w:r>
        <w:rPr>
          <w:color w:val="000000" w:themeColor="text1"/>
          <w:sz w:val="28"/>
          <w:szCs w:val="28"/>
        </w:rPr>
        <w:t>д) </w:t>
      </w:r>
      <w:r w:rsidRPr="00B65452">
        <w:rPr>
          <w:color w:val="000000" w:themeColor="text1"/>
          <w:sz w:val="28"/>
          <w:szCs w:val="28"/>
        </w:rPr>
        <w:t>внесения изменений в нормативный правовой акт Новосибирской области, содержащий обязательные требования (его отдельные положения), и об отсутствии необходимости продления срока его действия (срока действия его отдельных положений);</w:t>
      </w:r>
    </w:p>
    <w:p w:rsidR="00B65452" w:rsidRDefault="00B65452" w:rsidP="00B65452">
      <w:pPr>
        <w:tabs>
          <w:tab w:val="left" w:pos="851"/>
        </w:tabs>
        <w:ind w:firstLine="567"/>
        <w:jc w:val="both"/>
        <w:rPr>
          <w:color w:val="000000" w:themeColor="text1"/>
          <w:sz w:val="28"/>
          <w:szCs w:val="28"/>
        </w:rPr>
      </w:pPr>
      <w:r>
        <w:rPr>
          <w:color w:val="000000" w:themeColor="text1"/>
          <w:sz w:val="28"/>
          <w:szCs w:val="28"/>
        </w:rPr>
        <w:t>е) </w:t>
      </w:r>
      <w:r w:rsidRPr="00B65452">
        <w:rPr>
          <w:color w:val="000000" w:themeColor="text1"/>
          <w:sz w:val="28"/>
          <w:szCs w:val="28"/>
        </w:rPr>
        <w:t>отмены (признания утратившим силу) нормативного правового акта Новосибирской области, содержащего обязательные требования (его отдельных положений).</w:t>
      </w:r>
      <w:r>
        <w:rPr>
          <w:color w:val="000000" w:themeColor="text1"/>
          <w:sz w:val="28"/>
          <w:szCs w:val="28"/>
        </w:rPr>
        <w:t>»;</w:t>
      </w:r>
    </w:p>
    <w:p w:rsidR="00B65452" w:rsidRDefault="00B65452" w:rsidP="00B65452">
      <w:pPr>
        <w:tabs>
          <w:tab w:val="left" w:pos="851"/>
        </w:tabs>
        <w:ind w:firstLine="567"/>
        <w:jc w:val="both"/>
        <w:rPr>
          <w:color w:val="000000" w:themeColor="text1"/>
          <w:sz w:val="28"/>
          <w:szCs w:val="28"/>
        </w:rPr>
      </w:pPr>
      <w:r>
        <w:rPr>
          <w:color w:val="000000" w:themeColor="text1"/>
          <w:sz w:val="28"/>
          <w:szCs w:val="28"/>
        </w:rPr>
        <w:t>2) подпункт 3 признать утратившим силу.</w:t>
      </w:r>
    </w:p>
    <w:p w:rsidR="00B65452" w:rsidRDefault="00B65452" w:rsidP="00B65452">
      <w:pPr>
        <w:tabs>
          <w:tab w:val="left" w:pos="851"/>
        </w:tabs>
        <w:ind w:firstLine="567"/>
        <w:jc w:val="both"/>
        <w:rPr>
          <w:color w:val="000000" w:themeColor="text1"/>
          <w:sz w:val="28"/>
          <w:szCs w:val="28"/>
        </w:rPr>
      </w:pPr>
      <w:r>
        <w:rPr>
          <w:color w:val="000000" w:themeColor="text1"/>
          <w:sz w:val="28"/>
          <w:szCs w:val="28"/>
        </w:rPr>
        <w:t>3. </w:t>
      </w:r>
      <w:r w:rsidR="006C100D">
        <w:rPr>
          <w:color w:val="000000" w:themeColor="text1"/>
          <w:sz w:val="28"/>
          <w:szCs w:val="28"/>
        </w:rPr>
        <w:t>В пункте 20:</w:t>
      </w:r>
    </w:p>
    <w:p w:rsidR="006C100D" w:rsidRDefault="006C100D" w:rsidP="00B65452">
      <w:pPr>
        <w:tabs>
          <w:tab w:val="left" w:pos="851"/>
        </w:tabs>
        <w:ind w:firstLine="567"/>
        <w:jc w:val="both"/>
        <w:rPr>
          <w:color w:val="000000" w:themeColor="text1"/>
          <w:sz w:val="28"/>
          <w:szCs w:val="28"/>
        </w:rPr>
      </w:pPr>
      <w:r>
        <w:rPr>
          <w:color w:val="000000" w:themeColor="text1"/>
          <w:sz w:val="28"/>
          <w:szCs w:val="28"/>
        </w:rPr>
        <w:t>1) абзац первый изложить в следующей редакции:</w:t>
      </w:r>
    </w:p>
    <w:p w:rsidR="006C100D" w:rsidRDefault="006C100D" w:rsidP="00B65452">
      <w:pPr>
        <w:tabs>
          <w:tab w:val="left" w:pos="851"/>
        </w:tabs>
        <w:ind w:firstLine="567"/>
        <w:jc w:val="both"/>
        <w:rPr>
          <w:color w:val="000000" w:themeColor="text1"/>
          <w:sz w:val="28"/>
          <w:szCs w:val="28"/>
        </w:rPr>
      </w:pPr>
      <w:r>
        <w:rPr>
          <w:color w:val="000000" w:themeColor="text1"/>
          <w:sz w:val="28"/>
          <w:szCs w:val="28"/>
        </w:rPr>
        <w:t>«20. </w:t>
      </w:r>
      <w:r w:rsidRPr="006C100D">
        <w:rPr>
          <w:color w:val="000000" w:themeColor="text1"/>
          <w:sz w:val="28"/>
          <w:szCs w:val="28"/>
        </w:rPr>
        <w:t>Уполномоченный орган формирует проект Плана оценки применения, в том числе на основании Реестров обязательных требований</w:t>
      </w:r>
      <w:r>
        <w:rPr>
          <w:color w:val="000000" w:themeColor="text1"/>
          <w:sz w:val="28"/>
          <w:szCs w:val="28"/>
        </w:rPr>
        <w:t>.»;</w:t>
      </w:r>
    </w:p>
    <w:p w:rsidR="006C100D" w:rsidRDefault="006C100D" w:rsidP="00B65452">
      <w:pPr>
        <w:tabs>
          <w:tab w:val="left" w:pos="851"/>
        </w:tabs>
        <w:ind w:firstLine="567"/>
        <w:jc w:val="both"/>
        <w:rPr>
          <w:color w:val="000000" w:themeColor="text1"/>
          <w:sz w:val="28"/>
          <w:szCs w:val="28"/>
        </w:rPr>
      </w:pPr>
      <w:r>
        <w:rPr>
          <w:color w:val="000000" w:themeColor="text1"/>
          <w:sz w:val="28"/>
          <w:szCs w:val="28"/>
        </w:rPr>
        <w:t>2) абзац третий после слов «изменению (дополнению)» дополнить словами «, в том числе».</w:t>
      </w:r>
    </w:p>
    <w:p w:rsidR="006C100D" w:rsidRDefault="00EE75E5" w:rsidP="00B65452">
      <w:pPr>
        <w:tabs>
          <w:tab w:val="left" w:pos="851"/>
        </w:tabs>
        <w:ind w:firstLine="567"/>
        <w:jc w:val="both"/>
        <w:rPr>
          <w:color w:val="000000" w:themeColor="text1"/>
          <w:sz w:val="28"/>
          <w:szCs w:val="28"/>
        </w:rPr>
      </w:pPr>
      <w:r>
        <w:rPr>
          <w:color w:val="000000" w:themeColor="text1"/>
          <w:sz w:val="28"/>
          <w:szCs w:val="28"/>
        </w:rPr>
        <w:t>4</w:t>
      </w:r>
      <w:r w:rsidR="006C100D">
        <w:rPr>
          <w:color w:val="000000" w:themeColor="text1"/>
          <w:sz w:val="28"/>
          <w:szCs w:val="28"/>
        </w:rPr>
        <w:t>. </w:t>
      </w:r>
      <w:r w:rsidR="008E20FD">
        <w:rPr>
          <w:color w:val="000000" w:themeColor="text1"/>
          <w:sz w:val="28"/>
          <w:szCs w:val="28"/>
        </w:rPr>
        <w:t>В пункте 23:</w:t>
      </w:r>
    </w:p>
    <w:p w:rsidR="008E20FD" w:rsidRDefault="00EE75E5" w:rsidP="00B65452">
      <w:pPr>
        <w:tabs>
          <w:tab w:val="left" w:pos="851"/>
        </w:tabs>
        <w:ind w:firstLine="567"/>
        <w:jc w:val="both"/>
        <w:rPr>
          <w:color w:val="000000" w:themeColor="text1"/>
          <w:sz w:val="28"/>
          <w:szCs w:val="28"/>
        </w:rPr>
      </w:pPr>
      <w:r>
        <w:rPr>
          <w:color w:val="000000" w:themeColor="text1"/>
          <w:sz w:val="28"/>
          <w:szCs w:val="28"/>
        </w:rPr>
        <w:t>1) после подпункта 4 дополнить подпунктом 4.1 следующего содержания:</w:t>
      </w:r>
    </w:p>
    <w:p w:rsidR="00EE75E5" w:rsidRDefault="00EE75E5" w:rsidP="00B65452">
      <w:pPr>
        <w:tabs>
          <w:tab w:val="left" w:pos="851"/>
        </w:tabs>
        <w:ind w:firstLine="567"/>
        <w:jc w:val="both"/>
        <w:rPr>
          <w:color w:val="000000" w:themeColor="text1"/>
          <w:sz w:val="28"/>
          <w:szCs w:val="28"/>
        </w:rPr>
      </w:pPr>
      <w:r>
        <w:rPr>
          <w:color w:val="000000" w:themeColor="text1"/>
          <w:sz w:val="28"/>
          <w:szCs w:val="28"/>
        </w:rPr>
        <w:t>«4.1) </w:t>
      </w:r>
      <w:r w:rsidR="00F46A5A" w:rsidRPr="00F46A5A">
        <w:rPr>
          <w:color w:val="000000" w:themeColor="text1"/>
          <w:sz w:val="28"/>
          <w:szCs w:val="28"/>
        </w:rPr>
        <w:t>при подготовке проекта заключения об оценке уполномоченный орган может провести дополнительные публичные консультации. Срок проведения дополнительных публичных консультаций не может быть менее пяти рабочих дней. Течение срока подготовки заключения об приостанавливается на период проведения дополнительных публичных консультаций, о чем уполномоченный орган уведомляет исполнительный орган власти;</w:t>
      </w:r>
      <w:r w:rsidR="00F46A5A">
        <w:rPr>
          <w:color w:val="000000" w:themeColor="text1"/>
          <w:sz w:val="28"/>
          <w:szCs w:val="28"/>
        </w:rPr>
        <w:t>»;</w:t>
      </w:r>
    </w:p>
    <w:p w:rsidR="00F46A5A" w:rsidRDefault="00F46A5A" w:rsidP="00B65452">
      <w:pPr>
        <w:tabs>
          <w:tab w:val="left" w:pos="851"/>
        </w:tabs>
        <w:ind w:firstLine="567"/>
        <w:jc w:val="both"/>
        <w:rPr>
          <w:color w:val="000000" w:themeColor="text1"/>
          <w:sz w:val="28"/>
          <w:szCs w:val="28"/>
        </w:rPr>
      </w:pPr>
      <w:r>
        <w:rPr>
          <w:color w:val="000000" w:themeColor="text1"/>
          <w:sz w:val="28"/>
          <w:szCs w:val="28"/>
        </w:rPr>
        <w:t>2) </w:t>
      </w:r>
      <w:r w:rsidR="001D646C">
        <w:rPr>
          <w:color w:val="000000" w:themeColor="text1"/>
          <w:sz w:val="28"/>
          <w:szCs w:val="28"/>
        </w:rPr>
        <w:t>подпункт 8 изложить в следующей редакции:</w:t>
      </w:r>
    </w:p>
    <w:p w:rsidR="001D646C" w:rsidRDefault="001D646C" w:rsidP="00B65452">
      <w:pPr>
        <w:tabs>
          <w:tab w:val="left" w:pos="851"/>
        </w:tabs>
        <w:ind w:firstLine="567"/>
        <w:jc w:val="both"/>
        <w:rPr>
          <w:color w:val="000000" w:themeColor="text1"/>
          <w:sz w:val="28"/>
          <w:szCs w:val="28"/>
        </w:rPr>
      </w:pPr>
      <w:r>
        <w:rPr>
          <w:color w:val="000000" w:themeColor="text1"/>
          <w:sz w:val="28"/>
          <w:szCs w:val="28"/>
        </w:rPr>
        <w:t>«8) </w:t>
      </w:r>
      <w:r w:rsidRPr="001D646C">
        <w:rPr>
          <w:color w:val="000000" w:themeColor="text1"/>
          <w:sz w:val="28"/>
          <w:szCs w:val="28"/>
        </w:rPr>
        <w:t>в заключении об оценке делаются выводы об обоснованности оцениваемых обязательных требований и фактических последствиях их установления, а также выводы, предусмотренные подпунктом 2 пункта 17 Порядка. В заключении об оценке уполномоченным органом могут быть сформулированы иные предложения и замечания;</w:t>
      </w:r>
      <w:r>
        <w:rPr>
          <w:color w:val="000000" w:themeColor="text1"/>
          <w:sz w:val="28"/>
          <w:szCs w:val="28"/>
        </w:rPr>
        <w:t>»;</w:t>
      </w:r>
    </w:p>
    <w:p w:rsidR="001D646C" w:rsidRDefault="001D646C" w:rsidP="00B65452">
      <w:pPr>
        <w:tabs>
          <w:tab w:val="left" w:pos="851"/>
        </w:tabs>
        <w:ind w:firstLine="567"/>
        <w:jc w:val="both"/>
        <w:rPr>
          <w:color w:val="000000" w:themeColor="text1"/>
          <w:sz w:val="28"/>
          <w:szCs w:val="28"/>
        </w:rPr>
      </w:pPr>
      <w:r>
        <w:rPr>
          <w:color w:val="000000" w:themeColor="text1"/>
          <w:sz w:val="28"/>
          <w:szCs w:val="28"/>
        </w:rPr>
        <w:t>3) подпункт 10 изложить в следующей редакции:</w:t>
      </w:r>
    </w:p>
    <w:p w:rsidR="001D646C" w:rsidRDefault="001D646C" w:rsidP="00B65452">
      <w:pPr>
        <w:tabs>
          <w:tab w:val="left" w:pos="851"/>
        </w:tabs>
        <w:ind w:firstLine="567"/>
        <w:jc w:val="both"/>
        <w:rPr>
          <w:color w:val="000000" w:themeColor="text1"/>
          <w:sz w:val="28"/>
          <w:szCs w:val="28"/>
        </w:rPr>
      </w:pPr>
      <w:r>
        <w:rPr>
          <w:color w:val="000000" w:themeColor="text1"/>
          <w:sz w:val="28"/>
          <w:szCs w:val="28"/>
        </w:rPr>
        <w:t>«10) </w:t>
      </w:r>
      <w:r w:rsidR="007470AC" w:rsidRPr="007470AC">
        <w:rPr>
          <w:color w:val="000000" w:themeColor="text1"/>
          <w:sz w:val="28"/>
          <w:szCs w:val="28"/>
        </w:rPr>
        <w:t>в целях устранения неурегулированных разногласий по заключению об оценке уполномоченный орган проводит совещания с участием исполнительного органа власти. Дата, время и место совещаний определяются уполномоченным органом по согласованию с исполнительным органом власти. На совещание могут приглашаться участники публичных консультаций, иные заинтересованные лица;</w:t>
      </w:r>
      <w:r w:rsidR="007470AC">
        <w:rPr>
          <w:color w:val="000000" w:themeColor="text1"/>
          <w:sz w:val="28"/>
          <w:szCs w:val="28"/>
        </w:rPr>
        <w:t>»;</w:t>
      </w:r>
    </w:p>
    <w:p w:rsidR="007470AC" w:rsidRDefault="007470AC" w:rsidP="00B65452">
      <w:pPr>
        <w:tabs>
          <w:tab w:val="left" w:pos="851"/>
        </w:tabs>
        <w:ind w:firstLine="567"/>
        <w:jc w:val="both"/>
        <w:rPr>
          <w:color w:val="000000" w:themeColor="text1"/>
          <w:sz w:val="28"/>
          <w:szCs w:val="28"/>
        </w:rPr>
      </w:pPr>
      <w:r>
        <w:rPr>
          <w:color w:val="000000" w:themeColor="text1"/>
          <w:sz w:val="28"/>
          <w:szCs w:val="28"/>
        </w:rPr>
        <w:t>4) после подпункта 10 дополнить подпунктами 11-15 следующего содержания:</w:t>
      </w:r>
    </w:p>
    <w:p w:rsidR="00724D47" w:rsidRPr="00724D47" w:rsidRDefault="00986ACB" w:rsidP="00724D47">
      <w:pPr>
        <w:tabs>
          <w:tab w:val="left" w:pos="851"/>
        </w:tabs>
        <w:ind w:firstLine="567"/>
        <w:jc w:val="both"/>
        <w:rPr>
          <w:color w:val="000000" w:themeColor="text1"/>
          <w:sz w:val="28"/>
          <w:szCs w:val="28"/>
        </w:rPr>
      </w:pPr>
      <w:r>
        <w:rPr>
          <w:color w:val="000000" w:themeColor="text1"/>
          <w:sz w:val="28"/>
          <w:szCs w:val="28"/>
        </w:rPr>
        <w:t>«11) </w:t>
      </w:r>
      <w:r w:rsidR="00724D47" w:rsidRPr="00724D47">
        <w:rPr>
          <w:color w:val="000000" w:themeColor="text1"/>
          <w:sz w:val="28"/>
          <w:szCs w:val="28"/>
        </w:rPr>
        <w:t>по результатам совещания уполномоченный орган составляет протокол, который подписывается присутствовавшими на совещании представителями уполномоченного органа и исполнительного органа власти не позднее восьми рабочих дней с даты его проведения;</w:t>
      </w:r>
    </w:p>
    <w:p w:rsidR="00724D47" w:rsidRPr="00724D47" w:rsidRDefault="00724D47" w:rsidP="00724D47">
      <w:pPr>
        <w:tabs>
          <w:tab w:val="left" w:pos="851"/>
        </w:tabs>
        <w:ind w:firstLine="567"/>
        <w:jc w:val="both"/>
        <w:rPr>
          <w:color w:val="000000" w:themeColor="text1"/>
          <w:sz w:val="28"/>
          <w:szCs w:val="28"/>
        </w:rPr>
      </w:pPr>
      <w:r>
        <w:rPr>
          <w:color w:val="000000" w:themeColor="text1"/>
          <w:sz w:val="28"/>
          <w:szCs w:val="28"/>
        </w:rPr>
        <w:lastRenderedPageBreak/>
        <w:t>12) </w:t>
      </w:r>
      <w:r w:rsidRPr="00724D47">
        <w:rPr>
          <w:color w:val="000000" w:themeColor="text1"/>
          <w:sz w:val="28"/>
          <w:szCs w:val="28"/>
        </w:rPr>
        <w:t>в случае если по результатам совещаний остались неурегулированные разногласия по заключению об оценке, они подлежат рассмотрению на согласительном совещании у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координирующего деятельность исполнительного органа власти и (или) отвечающего за формирование решения в сфере, регулируемой рассматриваемым нормативным правовым актом Новосибирской области, в соответствии с распределением полномочий (далее - согласительное совещание). Дата, время и место согласительного совещания определяются вышеуказанным лицом и доводятся до сведения уполномоченного органа и исполнительного органа власти;</w:t>
      </w:r>
    </w:p>
    <w:p w:rsidR="00724D47" w:rsidRPr="00724D47" w:rsidRDefault="00724D47" w:rsidP="00724D47">
      <w:pPr>
        <w:tabs>
          <w:tab w:val="left" w:pos="851"/>
        </w:tabs>
        <w:ind w:firstLine="567"/>
        <w:jc w:val="both"/>
        <w:rPr>
          <w:color w:val="000000" w:themeColor="text1"/>
          <w:sz w:val="28"/>
          <w:szCs w:val="28"/>
        </w:rPr>
      </w:pPr>
      <w:r>
        <w:rPr>
          <w:color w:val="000000" w:themeColor="text1"/>
          <w:sz w:val="28"/>
          <w:szCs w:val="28"/>
        </w:rPr>
        <w:t>13) </w:t>
      </w:r>
      <w:r w:rsidRPr="00724D47">
        <w:rPr>
          <w:color w:val="000000" w:themeColor="text1"/>
          <w:sz w:val="28"/>
          <w:szCs w:val="28"/>
        </w:rPr>
        <w:t>по результатам согласительного совещания уполномоченный орган составляет протокол, который подписывается председательствующим и секретарем совещания - представителем уполномоченного органа не позднее восьми рабочих дней с даты проведения совещания;</w:t>
      </w:r>
    </w:p>
    <w:p w:rsidR="00724D47" w:rsidRPr="00724D47" w:rsidRDefault="00724D47" w:rsidP="00724D47">
      <w:pPr>
        <w:tabs>
          <w:tab w:val="left" w:pos="851"/>
        </w:tabs>
        <w:ind w:firstLine="567"/>
        <w:jc w:val="both"/>
        <w:rPr>
          <w:color w:val="000000" w:themeColor="text1"/>
          <w:sz w:val="28"/>
          <w:szCs w:val="28"/>
        </w:rPr>
      </w:pPr>
      <w:r>
        <w:rPr>
          <w:color w:val="000000" w:themeColor="text1"/>
          <w:sz w:val="28"/>
          <w:szCs w:val="28"/>
        </w:rPr>
        <w:t>14) </w:t>
      </w:r>
      <w:r w:rsidRPr="00724D47">
        <w:rPr>
          <w:color w:val="000000" w:themeColor="text1"/>
          <w:sz w:val="28"/>
          <w:szCs w:val="28"/>
        </w:rPr>
        <w:t>разработка проекта нормативного правового акта Новосибирской области в соответствии с выводами, изложенными в заключении об оценке, или по результатам урегулирования разногласий и направление его на согласование в уполномоченный орган осуществляется исполнительным органом власти в срок не более 30 рабочих дней. Исчисление срока начинается с рабочего дня, следующего за днем:</w:t>
      </w:r>
    </w:p>
    <w:p w:rsidR="00724D47" w:rsidRPr="00724D47" w:rsidRDefault="00724D47" w:rsidP="00724D47">
      <w:pPr>
        <w:tabs>
          <w:tab w:val="left" w:pos="851"/>
        </w:tabs>
        <w:ind w:firstLine="567"/>
        <w:jc w:val="both"/>
        <w:rPr>
          <w:color w:val="000000" w:themeColor="text1"/>
          <w:sz w:val="28"/>
          <w:szCs w:val="28"/>
        </w:rPr>
      </w:pPr>
      <w:r>
        <w:rPr>
          <w:color w:val="000000" w:themeColor="text1"/>
          <w:sz w:val="28"/>
          <w:szCs w:val="28"/>
        </w:rPr>
        <w:t>а) </w:t>
      </w:r>
      <w:r w:rsidRPr="00724D47">
        <w:rPr>
          <w:color w:val="000000" w:themeColor="text1"/>
          <w:sz w:val="28"/>
          <w:szCs w:val="28"/>
        </w:rPr>
        <w:t>направления исполнительным органом власти в уполномоченный орган мотивированного ответа, подготовленного в соответствии с подпунктом 6 настоящего пункта, о согласии с заключением об оценке;</w:t>
      </w:r>
    </w:p>
    <w:p w:rsidR="00724D47" w:rsidRPr="00724D47" w:rsidRDefault="00724D47" w:rsidP="00724D47">
      <w:pPr>
        <w:tabs>
          <w:tab w:val="left" w:pos="851"/>
        </w:tabs>
        <w:ind w:firstLine="567"/>
        <w:jc w:val="both"/>
        <w:rPr>
          <w:color w:val="000000" w:themeColor="text1"/>
          <w:sz w:val="28"/>
          <w:szCs w:val="28"/>
        </w:rPr>
      </w:pPr>
      <w:r>
        <w:rPr>
          <w:color w:val="000000" w:themeColor="text1"/>
          <w:sz w:val="28"/>
          <w:szCs w:val="28"/>
        </w:rPr>
        <w:t>б) </w:t>
      </w:r>
      <w:r w:rsidRPr="00724D47">
        <w:rPr>
          <w:color w:val="000000" w:themeColor="text1"/>
          <w:sz w:val="28"/>
          <w:szCs w:val="28"/>
        </w:rPr>
        <w:t>истечения срока на представление мотивированного ответа в соответствии с подпунктом 6 настоящего пункта, если исполнительный орган власти не направил мотивированный ответ;</w:t>
      </w:r>
    </w:p>
    <w:p w:rsidR="00724D47" w:rsidRPr="00724D47" w:rsidRDefault="00724D47" w:rsidP="00724D47">
      <w:pPr>
        <w:tabs>
          <w:tab w:val="left" w:pos="851"/>
        </w:tabs>
        <w:ind w:firstLine="567"/>
        <w:jc w:val="both"/>
        <w:rPr>
          <w:color w:val="000000" w:themeColor="text1"/>
          <w:sz w:val="28"/>
          <w:szCs w:val="28"/>
        </w:rPr>
      </w:pPr>
      <w:r>
        <w:rPr>
          <w:color w:val="000000" w:themeColor="text1"/>
          <w:sz w:val="28"/>
          <w:szCs w:val="28"/>
        </w:rPr>
        <w:t>в) </w:t>
      </w:r>
      <w:r w:rsidRPr="00724D47">
        <w:rPr>
          <w:color w:val="000000" w:themeColor="text1"/>
          <w:sz w:val="28"/>
          <w:szCs w:val="28"/>
        </w:rPr>
        <w:t>проведения совещания в порядке, предусмотренном подпунктом 10 настоящего пункта, в соответствии с протоколом которого исполнительный орган власти обязан разработать проект нормативного правового акта Новосибирской области с учетом заключения об оценке;</w:t>
      </w:r>
    </w:p>
    <w:p w:rsidR="00724D47" w:rsidRPr="00724D47" w:rsidRDefault="00724D47" w:rsidP="00724D47">
      <w:pPr>
        <w:tabs>
          <w:tab w:val="left" w:pos="851"/>
        </w:tabs>
        <w:ind w:firstLine="567"/>
        <w:jc w:val="both"/>
        <w:rPr>
          <w:color w:val="000000" w:themeColor="text1"/>
          <w:sz w:val="28"/>
          <w:szCs w:val="28"/>
        </w:rPr>
      </w:pPr>
      <w:r>
        <w:rPr>
          <w:color w:val="000000" w:themeColor="text1"/>
          <w:sz w:val="28"/>
          <w:szCs w:val="28"/>
        </w:rPr>
        <w:t>г) </w:t>
      </w:r>
      <w:r w:rsidRPr="00724D47">
        <w:rPr>
          <w:color w:val="000000" w:themeColor="text1"/>
          <w:sz w:val="28"/>
          <w:szCs w:val="28"/>
        </w:rPr>
        <w:t>проведения согласительного совещания в порядке, предусмотренном подпунктом 12 настоящего пункта, на котором принято решение о разработке проекта нормативного правового акта Новосибирской области с учетом заключения об оценке фактического воздействия;</w:t>
      </w:r>
    </w:p>
    <w:p w:rsidR="007470AC" w:rsidRDefault="00724D47" w:rsidP="00724D47">
      <w:pPr>
        <w:tabs>
          <w:tab w:val="left" w:pos="851"/>
        </w:tabs>
        <w:ind w:firstLine="567"/>
        <w:jc w:val="both"/>
        <w:rPr>
          <w:color w:val="000000" w:themeColor="text1"/>
          <w:sz w:val="28"/>
          <w:szCs w:val="28"/>
        </w:rPr>
      </w:pPr>
      <w:r>
        <w:rPr>
          <w:color w:val="000000" w:themeColor="text1"/>
          <w:sz w:val="28"/>
          <w:szCs w:val="28"/>
        </w:rPr>
        <w:t>15) </w:t>
      </w:r>
      <w:r w:rsidRPr="00724D47">
        <w:rPr>
          <w:color w:val="000000" w:themeColor="text1"/>
          <w:sz w:val="28"/>
          <w:szCs w:val="28"/>
        </w:rPr>
        <w:t>исполнительный орган власти в течение пяти рабочих дней после принятия нормативного правового акта Новосибирской области, проект которого был разработан в соответствии с подпунктом 14 настоящего пункта, обязан разместить его копию на официальном портале и уведомить об этом уполномоченный орган со ссылкой на страницу официального портала, на которой размещена копия такого акта.</w:t>
      </w:r>
      <w:r w:rsidR="007372F5">
        <w:rPr>
          <w:color w:val="000000" w:themeColor="text1"/>
          <w:sz w:val="28"/>
          <w:szCs w:val="28"/>
        </w:rPr>
        <w:t>»;</w:t>
      </w:r>
    </w:p>
    <w:p w:rsidR="007372F5" w:rsidRDefault="00BB2B72" w:rsidP="00724D47">
      <w:pPr>
        <w:tabs>
          <w:tab w:val="left" w:pos="851"/>
        </w:tabs>
        <w:ind w:firstLine="567"/>
        <w:jc w:val="both"/>
        <w:rPr>
          <w:color w:val="000000" w:themeColor="text1"/>
          <w:sz w:val="28"/>
          <w:szCs w:val="28"/>
        </w:rPr>
      </w:pPr>
      <w:r>
        <w:rPr>
          <w:color w:val="000000" w:themeColor="text1"/>
          <w:sz w:val="28"/>
          <w:szCs w:val="28"/>
        </w:rPr>
        <w:t>5. Пункт 24 признать утратившим силу.</w:t>
      </w:r>
    </w:p>
    <w:p w:rsidR="00BB2B72" w:rsidRDefault="00BB2B72" w:rsidP="00724D47">
      <w:pPr>
        <w:tabs>
          <w:tab w:val="left" w:pos="851"/>
        </w:tabs>
        <w:ind w:firstLine="567"/>
        <w:jc w:val="both"/>
        <w:rPr>
          <w:color w:val="000000" w:themeColor="text1"/>
          <w:sz w:val="28"/>
          <w:szCs w:val="28"/>
        </w:rPr>
      </w:pPr>
      <w:r>
        <w:rPr>
          <w:color w:val="000000" w:themeColor="text1"/>
          <w:sz w:val="28"/>
          <w:szCs w:val="28"/>
        </w:rPr>
        <w:lastRenderedPageBreak/>
        <w:t>6. В абзаце семнадцатом пункта 25 слова «подпунктом 3» заменить словами «подпунктом 2»;</w:t>
      </w:r>
    </w:p>
    <w:p w:rsidR="00BB2B72" w:rsidRPr="00B65452" w:rsidRDefault="00BB2B72" w:rsidP="0038177B">
      <w:pPr>
        <w:tabs>
          <w:tab w:val="left" w:pos="851"/>
        </w:tabs>
        <w:ind w:firstLine="567"/>
        <w:jc w:val="both"/>
        <w:rPr>
          <w:color w:val="000000" w:themeColor="text1"/>
          <w:sz w:val="28"/>
          <w:szCs w:val="28"/>
        </w:rPr>
      </w:pPr>
      <w:r>
        <w:rPr>
          <w:color w:val="000000" w:themeColor="text1"/>
          <w:sz w:val="28"/>
          <w:szCs w:val="28"/>
        </w:rPr>
        <w:t>7. </w:t>
      </w:r>
      <w:r w:rsidR="0038177B">
        <w:rPr>
          <w:color w:val="000000" w:themeColor="text1"/>
          <w:sz w:val="28"/>
          <w:szCs w:val="28"/>
        </w:rPr>
        <w:t>В абзаце втором пункта 26 слова «подпунктом 3» заменить словами «подпунктом 2».</w:t>
      </w:r>
    </w:p>
    <w:p w:rsidR="00E62451" w:rsidRDefault="00E62451">
      <w:pPr>
        <w:tabs>
          <w:tab w:val="left" w:pos="851"/>
        </w:tabs>
        <w:ind w:firstLine="567"/>
        <w:jc w:val="both"/>
        <w:rPr>
          <w:color w:val="000000" w:themeColor="text1"/>
          <w:sz w:val="28"/>
          <w:szCs w:val="28"/>
        </w:rPr>
      </w:pPr>
    </w:p>
    <w:p w:rsidR="000804FE" w:rsidRDefault="000804FE">
      <w:pPr>
        <w:tabs>
          <w:tab w:val="left" w:pos="851"/>
        </w:tabs>
        <w:ind w:firstLine="567"/>
        <w:jc w:val="both"/>
        <w:rPr>
          <w:color w:val="000000" w:themeColor="text1"/>
          <w:sz w:val="28"/>
          <w:szCs w:val="28"/>
        </w:rPr>
      </w:pPr>
    </w:p>
    <w:p w:rsidR="000804FE" w:rsidRDefault="000804FE">
      <w:pPr>
        <w:ind w:firstLine="567"/>
        <w:jc w:val="both"/>
        <w:rPr>
          <w:rFonts w:eastAsiaTheme="minorHAnsi"/>
          <w:sz w:val="28"/>
          <w:szCs w:val="28"/>
          <w:lang w:eastAsia="en-US"/>
        </w:rPr>
      </w:pPr>
    </w:p>
    <w:tbl>
      <w:tblPr>
        <w:tblStyle w:val="aff2"/>
        <w:tblpPr w:leftFromText="180" w:rightFromText="180"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77"/>
      </w:tblGrid>
      <w:tr w:rsidR="000804FE">
        <w:tc>
          <w:tcPr>
            <w:tcW w:w="5068" w:type="dxa"/>
          </w:tcPr>
          <w:p w:rsidR="000804FE" w:rsidRDefault="000804FE">
            <w:pPr>
              <w:pStyle w:val="af3"/>
              <w:jc w:val="both"/>
              <w:rPr>
                <w:rFonts w:ascii="Times New Roman" w:hAnsi="Times New Roman" w:cs="Times New Roman"/>
                <w:sz w:val="27"/>
                <w:szCs w:val="27"/>
              </w:rPr>
            </w:pPr>
          </w:p>
        </w:tc>
        <w:tc>
          <w:tcPr>
            <w:tcW w:w="5069" w:type="dxa"/>
          </w:tcPr>
          <w:p w:rsidR="000804FE" w:rsidRDefault="00BE0EE4">
            <w:pPr>
              <w:pStyle w:val="af3"/>
              <w:jc w:val="right"/>
              <w:rPr>
                <w:rFonts w:ascii="Times New Roman" w:hAnsi="Times New Roman" w:cs="Times New Roman"/>
                <w:sz w:val="27"/>
                <w:szCs w:val="27"/>
              </w:rPr>
            </w:pPr>
            <w:r>
              <w:rPr>
                <w:rFonts w:ascii="Times New Roman" w:hAnsi="Times New Roman" w:cs="Times New Roman"/>
                <w:sz w:val="28"/>
                <w:szCs w:val="28"/>
              </w:rPr>
              <w:t>А.А. Травников</w:t>
            </w:r>
          </w:p>
        </w:tc>
      </w:tr>
    </w:tbl>
    <w:p w:rsidR="000804FE" w:rsidRDefault="000804FE">
      <w:pPr>
        <w:pStyle w:val="af3"/>
        <w:jc w:val="both"/>
        <w:rPr>
          <w:rFonts w:ascii="Times New Roman" w:hAnsi="Times New Roman" w:cs="Times New Roman"/>
          <w:sz w:val="28"/>
          <w:szCs w:val="28"/>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0804FE" w:rsidRDefault="000804FE">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38177B" w:rsidRDefault="0038177B">
      <w:pPr>
        <w:jc w:val="both"/>
        <w:rPr>
          <w:sz w:val="20"/>
          <w:szCs w:val="20"/>
        </w:rPr>
      </w:pPr>
    </w:p>
    <w:p w:rsidR="000804FE" w:rsidRDefault="00BE0EE4">
      <w:pPr>
        <w:jc w:val="both"/>
        <w:rPr>
          <w:sz w:val="20"/>
          <w:szCs w:val="20"/>
        </w:rPr>
      </w:pPr>
      <w:r>
        <w:rPr>
          <w:sz w:val="20"/>
          <w:szCs w:val="20"/>
        </w:rPr>
        <w:t xml:space="preserve">Л.Н. Решетников </w:t>
      </w:r>
    </w:p>
    <w:p w:rsidR="000804FE" w:rsidRDefault="00BE0EE4">
      <w:pPr>
        <w:jc w:val="both"/>
        <w:rPr>
          <w:sz w:val="20"/>
          <w:szCs w:val="20"/>
        </w:rPr>
      </w:pPr>
      <w:r>
        <w:rPr>
          <w:sz w:val="20"/>
          <w:szCs w:val="20"/>
        </w:rPr>
        <w:t>238-66-81</w:t>
      </w:r>
    </w:p>
    <w:p w:rsidR="00E62451" w:rsidRDefault="00E62451">
      <w:pPr>
        <w:jc w:val="both"/>
        <w:rPr>
          <w:sz w:val="28"/>
          <w:szCs w:val="28"/>
        </w:rPr>
      </w:pPr>
      <w:bookmarkStart w:id="0" w:name="_GoBack"/>
      <w:bookmarkEnd w:id="0"/>
    </w:p>
    <w:sectPr w:rsidR="00E62451">
      <w:headerReference w:type="even" r:id="rId8"/>
      <w:headerReference w:type="default" r:id="rId9"/>
      <w:footerReference w:type="default" r:id="rId10"/>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94" w:rsidRDefault="00853B94">
      <w:r>
        <w:separator/>
      </w:r>
    </w:p>
  </w:endnote>
  <w:endnote w:type="continuationSeparator" w:id="0">
    <w:p w:rsidR="00853B94" w:rsidRDefault="0085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FE" w:rsidRDefault="000804FE">
    <w:pPr>
      <w:pStyle w:val="af8"/>
      <w:jc w:val="center"/>
    </w:pPr>
  </w:p>
  <w:p w:rsidR="000804FE" w:rsidRDefault="000804F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94" w:rsidRDefault="00853B94">
      <w:r>
        <w:separator/>
      </w:r>
    </w:p>
  </w:footnote>
  <w:footnote w:type="continuationSeparator" w:id="0">
    <w:p w:rsidR="00853B94" w:rsidRDefault="0085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FE" w:rsidRDefault="00BE0EE4">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804FE" w:rsidRDefault="000804F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491477"/>
      <w:docPartObj>
        <w:docPartGallery w:val="Page Numbers (Top of Page)"/>
        <w:docPartUnique/>
      </w:docPartObj>
    </w:sdtPr>
    <w:sdtEndPr/>
    <w:sdtContent>
      <w:p w:rsidR="000804FE" w:rsidRDefault="00BE0EE4">
        <w:pPr>
          <w:pStyle w:val="af5"/>
          <w:jc w:val="center"/>
          <w:rPr>
            <w:color w:val="000000" w:themeColor="text1"/>
            <w:sz w:val="20"/>
            <w:szCs w:val="20"/>
          </w:rPr>
        </w:pPr>
        <w:r>
          <w:rPr>
            <w:color w:val="000000" w:themeColor="text1"/>
            <w:sz w:val="20"/>
            <w:szCs w:val="20"/>
          </w:rPr>
          <w:fldChar w:fldCharType="begin"/>
        </w:r>
        <w:r>
          <w:rPr>
            <w:color w:val="000000" w:themeColor="text1"/>
            <w:sz w:val="20"/>
            <w:szCs w:val="20"/>
          </w:rPr>
          <w:instrText>PAGE   \* MERGEFORMAT</w:instrText>
        </w:r>
        <w:r>
          <w:rPr>
            <w:color w:val="000000" w:themeColor="text1"/>
            <w:sz w:val="20"/>
            <w:szCs w:val="20"/>
          </w:rPr>
          <w:fldChar w:fldCharType="separate"/>
        </w:r>
        <w:r w:rsidR="00081C4D">
          <w:rPr>
            <w:noProof/>
            <w:color w:val="000000" w:themeColor="text1"/>
            <w:sz w:val="20"/>
            <w:szCs w:val="20"/>
          </w:rPr>
          <w:t>3</w:t>
        </w:r>
        <w:r>
          <w:rPr>
            <w:color w:val="000000" w:themeColor="text1"/>
            <w:sz w:val="20"/>
            <w:szCs w:val="20"/>
          </w:rPr>
          <w:fldChar w:fldCharType="end"/>
        </w:r>
      </w:p>
    </w:sdtContent>
  </w:sdt>
  <w:p w:rsidR="000804FE" w:rsidRDefault="000804F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453B"/>
    <w:multiLevelType w:val="hybridMultilevel"/>
    <w:tmpl w:val="37B0E212"/>
    <w:lvl w:ilvl="0" w:tplc="8798795C">
      <w:start w:val="1"/>
      <w:numFmt w:val="decimal"/>
      <w:lvlText w:val="%1."/>
      <w:lvlJc w:val="left"/>
      <w:pPr>
        <w:ind w:left="900" w:hanging="360"/>
      </w:pPr>
      <w:rPr>
        <w:rFonts w:eastAsia="Times New Roman" w:hint="default"/>
        <w:color w:val="000000"/>
      </w:rPr>
    </w:lvl>
    <w:lvl w:ilvl="1" w:tplc="478654A6">
      <w:start w:val="1"/>
      <w:numFmt w:val="lowerLetter"/>
      <w:lvlText w:val="%2."/>
      <w:lvlJc w:val="left"/>
      <w:pPr>
        <w:ind w:left="1620" w:hanging="360"/>
      </w:pPr>
    </w:lvl>
    <w:lvl w:ilvl="2" w:tplc="B5341C30">
      <w:start w:val="1"/>
      <w:numFmt w:val="lowerRoman"/>
      <w:lvlText w:val="%3."/>
      <w:lvlJc w:val="right"/>
      <w:pPr>
        <w:ind w:left="2340" w:hanging="180"/>
      </w:pPr>
    </w:lvl>
    <w:lvl w:ilvl="3" w:tplc="AA2868CA">
      <w:start w:val="1"/>
      <w:numFmt w:val="decimal"/>
      <w:lvlText w:val="%4."/>
      <w:lvlJc w:val="left"/>
      <w:pPr>
        <w:ind w:left="3060" w:hanging="360"/>
      </w:pPr>
    </w:lvl>
    <w:lvl w:ilvl="4" w:tplc="898E6C58">
      <w:start w:val="1"/>
      <w:numFmt w:val="lowerLetter"/>
      <w:lvlText w:val="%5."/>
      <w:lvlJc w:val="left"/>
      <w:pPr>
        <w:ind w:left="3780" w:hanging="360"/>
      </w:pPr>
    </w:lvl>
    <w:lvl w:ilvl="5" w:tplc="D0001862">
      <w:start w:val="1"/>
      <w:numFmt w:val="lowerRoman"/>
      <w:lvlText w:val="%6."/>
      <w:lvlJc w:val="right"/>
      <w:pPr>
        <w:ind w:left="4500" w:hanging="180"/>
      </w:pPr>
    </w:lvl>
    <w:lvl w:ilvl="6" w:tplc="D80849F4">
      <w:start w:val="1"/>
      <w:numFmt w:val="decimal"/>
      <w:lvlText w:val="%7."/>
      <w:lvlJc w:val="left"/>
      <w:pPr>
        <w:ind w:left="5220" w:hanging="360"/>
      </w:pPr>
    </w:lvl>
    <w:lvl w:ilvl="7" w:tplc="8CA4E780">
      <w:start w:val="1"/>
      <w:numFmt w:val="lowerLetter"/>
      <w:lvlText w:val="%8."/>
      <w:lvlJc w:val="left"/>
      <w:pPr>
        <w:ind w:left="5940" w:hanging="360"/>
      </w:pPr>
    </w:lvl>
    <w:lvl w:ilvl="8" w:tplc="D8D86404">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FE"/>
    <w:rsid w:val="000804FE"/>
    <w:rsid w:val="00081C4D"/>
    <w:rsid w:val="001D646C"/>
    <w:rsid w:val="0038177B"/>
    <w:rsid w:val="00514D87"/>
    <w:rsid w:val="00577787"/>
    <w:rsid w:val="006C100D"/>
    <w:rsid w:val="00724D47"/>
    <w:rsid w:val="007372F5"/>
    <w:rsid w:val="007470AC"/>
    <w:rsid w:val="00853B94"/>
    <w:rsid w:val="00897F45"/>
    <w:rsid w:val="008E20FD"/>
    <w:rsid w:val="00986ACB"/>
    <w:rsid w:val="00B14776"/>
    <w:rsid w:val="00B65452"/>
    <w:rsid w:val="00BB2B72"/>
    <w:rsid w:val="00BE0EE4"/>
    <w:rsid w:val="00CC7CEC"/>
    <w:rsid w:val="00E62451"/>
    <w:rsid w:val="00EE75E5"/>
    <w:rsid w:val="00F4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C0E8"/>
  <w15:docId w15:val="{0D4B4218-FFA1-4EBD-BC50-BEB67A6F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Plain Text"/>
    <w:basedOn w:val="a"/>
    <w:link w:val="af4"/>
    <w:uiPriority w:val="99"/>
    <w:rPr>
      <w:rFonts w:ascii="Courier New" w:hAnsi="Courier New" w:cs="Courier New"/>
      <w:sz w:val="20"/>
      <w:szCs w:val="20"/>
    </w:rPr>
  </w:style>
  <w:style w:type="character" w:customStyle="1" w:styleId="af4">
    <w:name w:val="Текст Знак"/>
    <w:basedOn w:val="a0"/>
    <w:link w:val="af3"/>
    <w:uiPriority w:val="99"/>
    <w:rPr>
      <w:rFonts w:ascii="Courier New" w:eastAsia="Times New Roman" w:hAnsi="Courier New" w:cs="Courier New"/>
      <w:sz w:val="20"/>
      <w:szCs w:val="20"/>
      <w:lang w:eastAsia="ru-RU"/>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basedOn w:val="a0"/>
    <w:link w:val="af5"/>
    <w:uiPriority w:val="99"/>
    <w:rPr>
      <w:rFonts w:ascii="Times New Roman" w:eastAsia="Times New Roman" w:hAnsi="Times New Roman" w:cs="Times New Roman"/>
      <w:sz w:val="24"/>
      <w:szCs w:val="24"/>
      <w:lang w:eastAsia="ru-RU"/>
    </w:rPr>
  </w:style>
  <w:style w:type="character" w:styleId="af7">
    <w:name w:val="page number"/>
    <w:basedOn w:val="a0"/>
    <w:uiPriority w:val="99"/>
    <w:rPr>
      <w:rFonts w:cs="Times New Roman"/>
    </w:rPr>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basedOn w:val="a0"/>
    <w:link w:val="af8"/>
    <w:uiPriority w:val="99"/>
    <w:rPr>
      <w:rFonts w:ascii="Times New Roman" w:eastAsia="Times New Roman" w:hAnsi="Times New Roman" w:cs="Times New Roman"/>
      <w:sz w:val="24"/>
      <w:szCs w:val="24"/>
      <w:lang w:eastAsia="ru-RU"/>
    </w:rPr>
  </w:style>
  <w:style w:type="paragraph" w:styleId="afa">
    <w:name w:val="List Paragraph"/>
    <w:basedOn w:val="a"/>
    <w:uiPriority w:val="34"/>
    <w:qFormat/>
    <w:pPr>
      <w:spacing w:after="200" w:line="276" w:lineRule="auto"/>
      <w:ind w:left="720"/>
    </w:pPr>
    <w:rPr>
      <w:rFonts w:ascii="Calibri" w:hAnsi="Calibri" w:cs="Calibri"/>
      <w:sz w:val="22"/>
      <w:szCs w:val="22"/>
    </w:rPr>
  </w:style>
  <w:style w:type="paragraph" w:customStyle="1" w:styleId="ConsPlusNormal">
    <w:name w:val="ConsPlusNormal"/>
    <w:link w:val="ConsPlusNormal0"/>
    <w:pPr>
      <w:spacing w:after="0" w:line="240" w:lineRule="auto"/>
    </w:pPr>
    <w:rPr>
      <w:rFonts w:ascii="Times New Roman" w:eastAsia="Times New Roman" w:hAnsi="Times New Roman" w:cs="Times New Roman"/>
      <w:sz w:val="28"/>
      <w:szCs w:val="28"/>
      <w:lang w:eastAsia="ru-RU"/>
    </w:rPr>
  </w:style>
  <w:style w:type="character" w:styleId="afb">
    <w:name w:val="annotation reference"/>
    <w:basedOn w:val="a0"/>
    <w:unhideWhenUsed/>
    <w:rPr>
      <w:sz w:val="16"/>
      <w:szCs w:val="16"/>
    </w:rPr>
  </w:style>
  <w:style w:type="paragraph" w:styleId="afc">
    <w:name w:val="annotation text"/>
    <w:basedOn w:val="a"/>
    <w:link w:val="afd"/>
    <w:uiPriority w:val="99"/>
    <w:unhideWhenUsed/>
    <w:rPr>
      <w:sz w:val="20"/>
      <w:szCs w:val="20"/>
    </w:rPr>
  </w:style>
  <w:style w:type="character" w:customStyle="1" w:styleId="afd">
    <w:name w:val="Текст примечания Знак"/>
    <w:basedOn w:val="a0"/>
    <w:link w:val="afc"/>
    <w:uiPriority w:val="99"/>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ascii="Times New Roman" w:eastAsia="Times New Roman" w:hAnsi="Times New Roman" w:cs="Times New Roman"/>
      <w:b/>
      <w:bCs/>
      <w:sz w:val="20"/>
      <w:szCs w:val="20"/>
      <w:lang w:eastAsia="ru-RU"/>
    </w:rPr>
  </w:style>
  <w:style w:type="paragraph" w:styleId="aff0">
    <w:name w:val="Balloon Text"/>
    <w:basedOn w:val="a"/>
    <w:link w:val="aff1"/>
    <w:uiPriority w:val="99"/>
    <w:semiHidden/>
    <w:unhideWhenUsed/>
    <w:rPr>
      <w:rFonts w:ascii="Tahoma" w:hAnsi="Tahoma" w:cs="Tahoma"/>
      <w:sz w:val="16"/>
      <w:szCs w:val="16"/>
    </w:rPr>
  </w:style>
  <w:style w:type="character" w:customStyle="1" w:styleId="aff1">
    <w:name w:val="Текст выноски Знак"/>
    <w:basedOn w:val="a0"/>
    <w:link w:val="aff0"/>
    <w:uiPriority w:val="99"/>
    <w:semiHidden/>
    <w:rPr>
      <w:rFonts w:ascii="Tahoma" w:eastAsia="Times New Roman" w:hAnsi="Tahoma" w:cs="Tahoma"/>
      <w:sz w:val="16"/>
      <w:szCs w:val="16"/>
      <w:lang w:eastAsia="ru-RU"/>
    </w:rPr>
  </w:style>
  <w:style w:type="table" w:styleId="af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Revision"/>
    <w:hidden/>
    <w:uiPriority w:val="99"/>
    <w:semiHidden/>
    <w:pPr>
      <w:spacing w:after="0" w:line="240" w:lineRule="auto"/>
    </w:pPr>
    <w:rPr>
      <w:rFonts w:ascii="Times New Roman" w:eastAsia="Times New Roman" w:hAnsi="Times New Roman" w:cs="Times New Roman"/>
      <w:sz w:val="24"/>
      <w:szCs w:val="24"/>
      <w:lang w:eastAsia="ru-RU"/>
    </w:rPr>
  </w:style>
  <w:style w:type="character" w:styleId="aff4">
    <w:name w:val="Hyperlink"/>
    <w:basedOn w:val="a0"/>
    <w:uiPriority w:val="99"/>
    <w:unhideWhenUsed/>
    <w:rPr>
      <w:color w:val="0000FF" w:themeColor="hyperlink"/>
      <w:u w:val="single"/>
    </w:rPr>
  </w:style>
  <w:style w:type="character" w:customStyle="1" w:styleId="ConsPlusNormal0">
    <w:name w:val="ConsPlusNormal Знак"/>
    <w:basedOn w:val="a0"/>
    <w:link w:val="ConsPlusNormal"/>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5F9C96-3602-4191-B6A9-9B5020AD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1122</Words>
  <Characters>6397</Characters>
  <Application>Microsoft Office Word</Application>
  <DocSecurity>0</DocSecurity>
  <Lines>53</Lines>
  <Paragraphs>15</Paragraphs>
  <ScaleCrop>false</ScaleCrop>
  <Company>АГНОиПНО</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Гоппе Евгения Алиевна</dc:creator>
  <cp:lastModifiedBy>Бурлуцкая Вера Петровна</cp:lastModifiedBy>
  <cp:revision>23</cp:revision>
  <dcterms:created xsi:type="dcterms:W3CDTF">2023-05-18T10:07:00Z</dcterms:created>
  <dcterms:modified xsi:type="dcterms:W3CDTF">2024-07-29T03:03:00Z</dcterms:modified>
</cp:coreProperties>
</file>