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/>
        <w:jc w:val="center"/>
        <w:spacing w:after="0" w:line="240" w:lineRule="auto"/>
        <w:rPr>
          <w:rFonts w:ascii="Times New Roman" w:hAnsi="Times New Roman" w:eastAsiaTheme="minorHAnsi"/>
          <w:sz w:val="28"/>
          <w:szCs w:val="28"/>
        </w:rPr>
        <w:outlineLvl w:val="0"/>
      </w:pPr>
      <w:r>
        <w:rPr>
          <w:rFonts w:ascii="Times New Roman" w:hAnsi="Times New Roman" w:eastAsiaTheme="minorHAnsi"/>
          <w:sz w:val="28"/>
          <w:szCs w:val="28"/>
        </w:rPr>
        <w:t xml:space="preserve">УСТАНОВЛЕНЫ</w:t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left="5812"/>
        <w:jc w:val="center"/>
        <w:spacing w:after="0" w:line="240" w:lineRule="auto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приказом министерства </w:t>
      </w:r>
      <w:r>
        <w:rPr>
          <w:rFonts w:ascii="Times New Roman" w:hAnsi="Times New Roman" w:eastAsiaTheme="minorHAnsi"/>
          <w:sz w:val="28"/>
          <w:szCs w:val="28"/>
        </w:rPr>
        <w:t xml:space="preserve">сельского</w:t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left="5670"/>
        <w:jc w:val="center"/>
        <w:spacing w:after="0" w:line="240" w:lineRule="auto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хозяйства</w:t>
      </w:r>
      <w:r>
        <w:rPr>
          <w:rFonts w:ascii="Times New Roman" w:hAnsi="Times New Roman" w:eastAsiaTheme="minorHAnsi"/>
          <w:sz w:val="28"/>
          <w:szCs w:val="28"/>
        </w:rPr>
        <w:t xml:space="preserve"> Новосибирской области</w:t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left="5812"/>
        <w:jc w:val="center"/>
        <w:spacing w:after="0" w:line="240" w:lineRule="auto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 ___________ № ________</w:t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left="5812"/>
        <w:jc w:val="center"/>
        <w:spacing w:after="0" w:line="240" w:lineRule="auto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left="5812"/>
        <w:jc w:val="center"/>
        <w:spacing w:after="0" w:line="240" w:lineRule="auto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Theme="minorHAnsi"/>
          <w:b/>
          <w:bCs/>
          <w:sz w:val="28"/>
          <w:szCs w:val="28"/>
        </w:rPr>
      </w:pPr>
      <w:r/>
      <w:bookmarkStart w:id="0" w:name="Par21"/>
      <w:r/>
      <w:bookmarkEnd w:id="0"/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П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ЕРЕЧЕНЬ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И ПРЕДЕЛЬНЫЙ МАКСИМАЛЬНЫЙ РАЗМЕР</w:t>
      </w:r>
      <w:r>
        <w:rPr>
          <w:rFonts w:ascii="Times New Roman" w:hAnsi="Times New Roman" w:eastAsiaTheme="minorHAnsi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Theme="minorHAnsi"/>
          <w:b/>
          <w:bCs/>
          <w:sz w:val="28"/>
          <w:szCs w:val="28"/>
        </w:rPr>
      </w:pP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стоимости 1 тонны минеральных удобрений на 202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4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eastAsiaTheme="minorHAnsi"/>
          <w:b/>
          <w:bCs/>
          <w:sz w:val="28"/>
          <w:szCs w:val="28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Theme="minorHAnsi"/>
          <w:b/>
          <w:bCs/>
          <w:sz w:val="28"/>
          <w:szCs w:val="28"/>
        </w:rPr>
      </w:pPr>
      <w:r>
        <w:rPr>
          <w:rFonts w:ascii="Times New Roman" w:hAnsi="Times New Roman" w:eastAsiaTheme="minorHAnsi"/>
          <w:b/>
          <w:bCs/>
          <w:sz w:val="28"/>
          <w:szCs w:val="28"/>
        </w:rPr>
      </w:r>
      <w:r>
        <w:rPr>
          <w:rFonts w:ascii="Times New Roman" w:hAnsi="Times New Roman" w:eastAsiaTheme="minorHAnsi"/>
          <w:b/>
          <w:bCs/>
          <w:sz w:val="28"/>
          <w:szCs w:val="28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Theme="minorHAnsi"/>
          <w:b/>
          <w:bCs/>
          <w:sz w:val="28"/>
          <w:szCs w:val="28"/>
        </w:rPr>
      </w:pPr>
      <w:r>
        <w:rPr>
          <w:rFonts w:ascii="Times New Roman" w:hAnsi="Times New Roman" w:eastAsiaTheme="minorHAnsi"/>
          <w:b/>
          <w:bCs/>
          <w:sz w:val="28"/>
          <w:szCs w:val="28"/>
        </w:rPr>
      </w:r>
      <w:r>
        <w:rPr>
          <w:rFonts w:ascii="Times New Roman" w:hAnsi="Times New Roman" w:eastAsiaTheme="minorHAnsi"/>
          <w:b/>
          <w:bCs/>
          <w:sz w:val="28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98"/>
        <w:gridCol w:w="4678"/>
      </w:tblGrid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pStyle w:val="673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минеральных удобрений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 w:eastAsiaTheme="minorHAnsi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Максимальный размер стоимости </w:t>
            </w:r>
            <w:r>
              <w:rPr>
                <w:rFonts w:ascii="Times New Roman" w:hAnsi="Times New Roman" w:eastAsiaTheme="minorHAnsi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1 тонны, рублей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ffffff" w:fill="ffffff"/>
            <w:tcW w:w="5098" w:type="dxa"/>
            <w:vAlign w:val="center"/>
            <w:vMerge w:val="restart"/>
            <w:textDirection w:val="lrTb"/>
            <w:noWrap/>
          </w:tcPr>
          <w:p>
            <w:pPr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АМУ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22307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454"/>
        </w:trPr>
        <w:tc>
          <w:tcPr>
            <w:shd w:val="clear" w:color="ffffff" w:fill="ffffff"/>
            <w:tcW w:w="5098" w:type="dxa"/>
            <w:vAlign w:val="center"/>
            <w:vMerge w:val="restart"/>
            <w:textDirection w:val="lrTb"/>
            <w:noWrap/>
          </w:tcPr>
          <w:p>
            <w:pPr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Карбамид 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3683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454"/>
        </w:trPr>
        <w:tc>
          <w:tcPr>
            <w:shd w:val="clear" w:color="ffffff" w:fill="ffffff"/>
            <w:tcW w:w="5098" w:type="dxa"/>
            <w:vAlign w:val="center"/>
            <w:vMerge w:val="restart"/>
            <w:textDirection w:val="lrTb"/>
            <w:noWrap/>
          </w:tcPr>
          <w:p>
            <w:pPr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Аммофос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54282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454"/>
        </w:trPr>
        <w:tc>
          <w:tcPr>
            <w:shd w:val="clear" w:color="ffffff" w:fill="ffffff"/>
            <w:tcW w:w="5098" w:type="dxa"/>
            <w:vAlign w:val="center"/>
            <w:vMerge w:val="restart"/>
            <w:textDirection w:val="lrTb"/>
            <w:noWrap/>
          </w:tcPr>
          <w:p>
            <w:pPr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Сульфат аммония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15680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454"/>
        </w:trPr>
        <w:tc>
          <w:tcPr>
            <w:shd w:val="clear" w:color="ffffff" w:fill="ffffff"/>
            <w:tcW w:w="5098" w:type="dxa"/>
            <w:vAlign w:val="center"/>
            <w:vMerge w:val="restart"/>
            <w:textDirection w:val="lrTb"/>
            <w:noWrap/>
          </w:tcPr>
          <w:p>
            <w:pPr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Диаммофоска 10.26.26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1840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454"/>
        </w:trPr>
        <w:tc>
          <w:tcPr>
            <w:shd w:val="clear" w:color="ffffff" w:fill="ffffff"/>
            <w:tcW w:w="5098" w:type="dxa"/>
            <w:vAlign w:val="center"/>
            <w:vMerge w:val="restart"/>
            <w:textDirection w:val="lrTb"/>
            <w:noWrap/>
          </w:tcPr>
          <w:p>
            <w:pPr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20-20-14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36557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454"/>
        </w:trPr>
        <w:tc>
          <w:tcPr>
            <w:shd w:val="clear" w:color="ffffff" w:fill="ffffff"/>
            <w:tcW w:w="5098" w:type="dxa"/>
            <w:vAlign w:val="center"/>
            <w:vMerge w:val="restart"/>
            <w:textDirection w:val="lrTb"/>
            <w:noWrap/>
          </w:tcPr>
          <w:p>
            <w:pPr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Азофоска 15-15-15-1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5877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/>
            <w:bookmarkStart w:id="1" w:name="_GoBack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Известково-аммиачная селитра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23 250</w:t>
            </w:r>
            <w:bookmarkEnd w:id="1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Безводный аммиак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43 500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Азотофосфат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36 000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АгроМастер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200 000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Калиймагнезия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55 000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Калий сернокислый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96 200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КАС 32,28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21 300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КАС 23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19 500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NPK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26 310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Нитрофоска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37 900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Монокалийфосфат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240 000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NPKS 8-20-30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46 166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Азофоска 27-6-6-2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35 678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Азофоска 15-15-15-11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36 760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Сульфоаммофос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 20-20-14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44 500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Селитра аммиачная марка Б ГОСТ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23 521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Калий хлористый гранулированный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26 769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ИАС известково-аммиачная селитра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26 630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Нитроаммофоска 16-16-16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35 800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Нитроаммофоска 24-6-12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27 000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Сульфат магния 7ми водный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47 400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Сульфат калия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118 000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Калиевая селитра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105 000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Нитрат кальция концентрированный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58 000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Моноамонийфосфат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123 000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СОЛАР Старт 15:30:15+2MgO+МЭ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156 000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Солар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 Старт 13:40:13+МЭ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156 900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СОЛАР Универсал 18:18:18+3MgO+МЭ 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156 596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СОЛАР Универсал 19:19:19+МЭ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137 600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СОЛАР Универсал 20:20:20+МЭ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163 108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СОЛАР Финал 15:7:30+3MgO+МЭ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172 500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СОЛАР Финал 12:6:36+2.5MgO+МЭ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183 696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СОЛАР Финал 3:11:28+МЭ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173 600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NPKS 16-16-16-6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36 142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NP+S 14:40:7+1Zn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42 285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Сульфонитрат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 NS 30-7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29 100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Меристем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МикроБор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 21%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270 000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Пекацид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 PK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590 000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МультиСтарт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 NPKS+БИО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45 669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509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Прочие минеральные удобрения (по фактической стоимости, но не более)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 000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65677990"/>
      <w:docPartObj>
        <w:docPartGallery w:val="Page Numbers (Top of Page)"/>
        <w:docPartUnique w:val="true"/>
      </w:docPartObj>
      <w:rPr>
        <w:rFonts w:ascii="Times New Roman" w:hAnsi="Times New Roman"/>
      </w:rPr>
    </w:sdtPr>
    <w:sdtContent>
      <w:p>
        <w:pPr>
          <w:pStyle w:val="681"/>
          <w:jc w:val="center"/>
          <w:rPr>
            <w:rFonts w:ascii="Times New Roman" w:hAnsi="Times New Roman"/>
            <w:lang w:val="en-US"/>
          </w:rPr>
        </w:pPr>
        <w:r>
          <w:rPr>
            <w:rFonts w:ascii="Times New Roman" w:hAnsi="Times New Roman"/>
            <w:sz w:val="20"/>
            <w:lang w:val="en-US"/>
          </w:rPr>
          <w:t xml:space="preserve">2</w:t>
        </w:r>
        <w:r>
          <w:rPr>
            <w:rFonts w:ascii="Times New Roman" w:hAnsi="Times New Roman"/>
            <w:lang w:val="en-US"/>
          </w:rPr>
        </w:r>
      </w:p>
    </w:sdtContent>
  </w:sdt>
  <w:p>
    <w:pPr>
      <w:pStyle w:val="6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3"/>
    <w:next w:val="67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4"/>
    <w:link w:val="681"/>
    <w:uiPriority w:val="99"/>
  </w:style>
  <w:style w:type="character" w:styleId="45">
    <w:name w:val="Footer Char"/>
    <w:basedOn w:val="674"/>
    <w:link w:val="683"/>
    <w:uiPriority w:val="99"/>
  </w:style>
  <w:style w:type="paragraph" w:styleId="46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3"/>
    <w:uiPriority w:val="99"/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  <w:pPr>
      <w:spacing w:line="256" w:lineRule="auto"/>
    </w:pPr>
    <w:rPr>
      <w:rFonts w:ascii="Calibri" w:hAnsi="Calibri" w:eastAsia="Calibri" w:cs="Times New Roman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table" w:styleId="677">
    <w:name w:val="Table Grid"/>
    <w:basedOn w:val="675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8">
    <w:name w:val="Hyperlink"/>
    <w:basedOn w:val="674"/>
    <w:uiPriority w:val="99"/>
    <w:semiHidden/>
    <w:unhideWhenUsed/>
    <w:rPr>
      <w:color w:val="0000ff"/>
      <w:u w:val="single"/>
    </w:rPr>
  </w:style>
  <w:style w:type="paragraph" w:styleId="679">
    <w:name w:val="Balloon Text"/>
    <w:basedOn w:val="673"/>
    <w:link w:val="68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0" w:customStyle="1">
    <w:name w:val="Текст выноски Знак"/>
    <w:basedOn w:val="674"/>
    <w:link w:val="679"/>
    <w:uiPriority w:val="99"/>
    <w:semiHidden/>
    <w:rPr>
      <w:rFonts w:ascii="Segoe UI" w:hAnsi="Segoe UI" w:eastAsia="Calibri" w:cs="Segoe UI"/>
      <w:sz w:val="18"/>
      <w:szCs w:val="18"/>
    </w:rPr>
  </w:style>
  <w:style w:type="paragraph" w:styleId="681">
    <w:name w:val="Header"/>
    <w:basedOn w:val="673"/>
    <w:link w:val="6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2" w:customStyle="1">
    <w:name w:val="Верхний колонтитул Знак"/>
    <w:basedOn w:val="674"/>
    <w:link w:val="681"/>
    <w:uiPriority w:val="99"/>
    <w:rPr>
      <w:rFonts w:ascii="Calibri" w:hAnsi="Calibri" w:eastAsia="Calibri" w:cs="Times New Roman"/>
    </w:rPr>
  </w:style>
  <w:style w:type="paragraph" w:styleId="683">
    <w:name w:val="Footer"/>
    <w:basedOn w:val="673"/>
    <w:link w:val="68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4" w:customStyle="1">
    <w:name w:val="Нижний колонтитул Знак"/>
    <w:basedOn w:val="674"/>
    <w:link w:val="683"/>
    <w:uiPriority w:val="99"/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revision>7</cp:revision>
  <dcterms:created xsi:type="dcterms:W3CDTF">2023-09-04T10:16:00Z</dcterms:created>
  <dcterms:modified xsi:type="dcterms:W3CDTF">2024-09-27T10:25:48Z</dcterms:modified>
</cp:coreProperties>
</file>