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предоставлении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субсидий льготным категориям граждан на покупку и установку газоиспользующего оборудования, проведение работ внутри границ их земе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Новосибирской области в 2024 году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Правилами предоставления и распределения в 2024 году субсидий из федерального бюджета бюджетам субъектов Российской Федерации на софинансирование рас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(догазификации), приведенными в приложении № 37 к государственной программе Российской Федерации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«Развитие энергетики», утвержденной постановлением Правительства Российской Федерации от 15.04.2014 № 321 «Об утверждении государственной программы Российской Федерации «Развитие энергетики»</w:t>
      </w:r>
      <w:bookmarkStart w:id="9" w:name="_GoBack"/>
      <w:r>
        <w:rPr>
          <w:rFonts w:ascii="Times New Roman" w:hAnsi="Times New Roman" w:eastAsia="Times New Roman" w:cs="Times New Roman"/>
        </w:rPr>
      </w:r>
      <w:bookmarkEnd w:id="9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п о с т а н о в л я е т: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1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Утвердить прилагаемые: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0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перечень мероприятий, при реализации которых возникают расходные обязательства Новосибирской области, в целях софинансирования которых предоставляются субсидии из феде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рального бюджета бюджетам субъектов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10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порядок определения размера субсидий 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осущ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10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порядок и сроки предоставления субсидий 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10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4) порядок взаимодействия между гражданином, министерством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газораспределительной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организацией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10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5) требования к документам, представляемым гражданами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1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6) требования к перечню документов, 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порядок и основания возврата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средств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widowControl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Контроль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за исполнением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возложить на заместителя Губернатора Новосибирской области Нелюбова С.А., коорд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инирующего деятельность министерства труда и социального развития Новосибирской области, заместителя Губернатора Новосибирской области Сёмку С.Н., координирующего деятельность министерства жилищно-коммунального хозяйства и энергетики 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widowControl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Е.В. Бахарева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238 75 10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мероприятий, при реализации которых возникают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расходные обязательства Новосибирской области, в целях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софинансирования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которых предоставляются субсидии из федерального бюджета бюджетам субъектов Российской Федерации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софинансирование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догазификации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Подключение (технологическое присоединение) в пределах границ земельного участка гражданина.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Проектирование сети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газопотребления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Строительство газопровода от границ земельного участка до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Установка газоиспользующего оборудования.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Строительство либо реконструкция внутреннего газопровода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 Установка прибора учета газа.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 Поставка газоиспользующего оборудования</w:t>
      </w:r>
      <w:commentRangeStart w:id="0"/>
      <w:r>
        <w:rPr>
          <w:rFonts w:ascii="Times New Roman" w:hAnsi="Times New Roman" w:eastAsia="Times New Roman" w:cs="Times New Roman"/>
          <w:highlight w:val="white"/>
        </w:rPr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8. Поставка прибора учета газа</w:t>
      </w:r>
      <w:commentRangeStart w:id="1"/>
      <w:r>
        <w:rPr>
          <w:rFonts w:ascii="Times New Roman" w:hAnsi="Times New Roman" w:eastAsia="Times New Roman" w:cs="Times New Roman"/>
          <w:highlight w:val="white"/>
        </w:rPr>
      </w:r>
      <w:commentRangeEnd w:id="1"/>
      <w:r>
        <w:commentReference w:id="1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определения размера субсидий льготным категориям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осущ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 на предоставление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 (далее – субсидия) в Новосиб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ирской области в 2024 году имеют граждане Российской Федерации, относящиеся к льготным категориям, владеющие на праве собственности (включая долевую или совместную собственность) или на ином предусмотренном законом праве домовладениями (далее – граждане),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расположенными на территории Новосибирской области, включенными на 2024 год в пообъектный план-график догазификации Новосибирской области, утвержденный заместителем руководителя регионального штаба по газификации Новосибирской области в рамках Региональной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программы газификации жилищно-коммунального хозяйства, промышленных и иных организаций на территории Новосибирской области, утвержденной постановлением Правительства Новосибирской области от 30.03.2022 № 144-п «Об утверждении Региональной программы газифи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кации жилищно-коммунального хозяйства, промышленных и иных организаций на территории Новосибирской области», и заключившие после 31.12.2023 договор о подключении (технологическом присоединении) газоиспользующего оборудования к сети газораспределения в рамк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ах догазификации либо дополнительное соглашение к договору о подключении (технологическом присоединении) газоиспользующего оборудования к сети газораспределения в рамках догазификации, заключенному до 31.12.2023 (включительно) (далее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Договор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соответствии с пунктом 12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Правительства Российской Федерации»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Правила подключения), в соответствии с типовой формой договора о подключении (технологическом присоединении) газоиспользующего оборудования к сети газораспределения, и (или) по строительству газопровода от границ земельного участка до объекта капитального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строительства, в рамках догазификации, являющейся приложением № 8 к Правилам подключения (далее – типовая форма договора),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предусматривает осуществление мероприятий, входящих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перечень мероприятий,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при реализации которых возникают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расходные обязательства Новосибирской области, в целях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софинансирования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которых предоставляются субсидии из федерального бюджета бюджетам субъектов Российской Федерации 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софинансирование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денный настоящим постановлением.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К льготным категориям граждан относятся: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ветераны Великой Отечественной войны;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ветераны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инвалиды Великой Отечественной войны и инвалиды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члены семей погибших (умерших) инвалид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 Великой Отечественной войны и инвалидов боевых действий, участников Великой Отечественной войны, ветеранов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 участники специальной военной операции и члены их семей;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 инвалиды первой группы и лица, осуществляющие уход за детьми-инвал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идами;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 многодетные семьи и малоимущие граждане, в том числе малоимущие семьи с детьми.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Субсидия гражданам предоставляется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не более одного раза в течение трех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лет в отношении одного домовладения, в пределах которого осу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ществляется подключение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однократно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При наличии у нескольких граждан права на предоставление субсидии в отношении одного домовладения субсидия предоставляется только одному из таких граждан.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При отнесении гражданина к нескольким категориям, указанным в пункте 2 настоящего Порядка,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право на предоставление субсидии определяется  по одной из них по выбору гражданина.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 Размер субсидии определяется равным размеру затрат гражданина на покупку и установку газоиспользующего оборудования, проведение работ внутри границ их земельных участк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 в рамках реализации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мероприятие), предусмотренных в заключенном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ражданином договоре, но не более 100 000 рублей в отношении одного домовладения однократно.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Указанные затраты внутри границ земельных участков включают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расходы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проектирование сети газопотребления, включая расходы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проведение инженерно-геодезических изысканий, разработку проектной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документации и рабочей документации, согласование прокладки объектов сети газопотребления с владельцами смежных коммуникаций (при необходимости);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расходы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осуществление строительно-монтажных работ сети газопотребления, включая расходы на строительство линейной части сети газопотребления (газопровода), строительство пунктов редуцирования газа и устройств электрохимической защиты от коррозии, установку откл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ючающих устройств, фитингов и других устройств и сооружений сети газопотребления, устройство внутреннего газопровода на объекте капитального строительства, на покраску газопроводов, продувку газопроводов и газоиспользующего оборудования, испытание газопров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ода на герметичность, на выполнение пусконаладочных работ, проведение контрольной опрессовки газопровода.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К газоиспользующему оборудованию, затраты на покупку и установку которого могут компенсироваться за счет средств субсидии, относится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газоиспользующее оборудование,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произведенное на территории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 в соответствии с критериями и порядком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дтверждения, установленными постановлением Правительства Российской Федерации от 17.07.2015 № 719 «О подтверждении производства промышленной продукции на территории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котел (газовый двухконтурный или одноконтурный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напольный котел, газовый двухконтурный или одноконтурный настенный котел);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газовый водонагреватель;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плит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газов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варочн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панель;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счетчики газа (прибор учета газа);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колонк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бойлер косвенного нагрева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контроля загазованности;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иное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пустимое к установке в домовладениях оборудование, работающее на природном газе и необходимое для отопления (теплоснабжения) домовладений и для пищеприготовления.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8. Размер затрат гражданина определяется на основании сведений, указанных в договоре с учетом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пункта 13 Правил подключения.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если размер затрат гражданина, указанный в договоре, превышает установленный в пункте 6 настоящего Порядка предельный размер субсидии, субсидия предоставляется в предельном размере, при этом гражданин оплачивает разн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ицу между размером затрат и предоставленной субсидией за счет собственных средств в порядке и в сроки, установленные договором.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если размер затрат гражданина, указанный в договоре, оказался меньше установленного в пункте 6 настоящего Порядка преде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льного размера субсидии, субсидия предоставляется в размере затрат, указанных в договоре, при этом разница между предельным размером субсидии и фактически предоставленной субсидией гражданину не компенсируется (денежные средства не выплачиваются, а также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применяются иные виды компенсации).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Включение каких-либо расходов на получение субсидии в состав затрат, учитываемых при определении ее размера, не допускается.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9. Расходы на предоставление субсидии носят целевой характер и осуществляются на условиях соф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инансирования из федерального бюджета.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Субсидии являются целевыми и предоставляются в целях внесения гражданином платы по договору в порядке, установленном в пункте 13 типовой формы договора, путем возложения исполнения его обязательств по оплате договора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государственное казенное учреждение Новосибирской области «Центр социальной поддержки населения г. Новосибирска», государственные казенные учреждения Новосибирской области (центры социальной поддержки населения городов и районов Новосибирской области),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подведомственные министерству труда и социального развития Новосибирской области, по месту жительства гражданина.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 Средства на предоставление субсидий предусматриваются в бюджете Новосибирской области.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11. Финансирование расходов на предоставление субси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дий осуществляется министерством труда и социального развития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 сроки предоставления субсидий льготным категориям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 (далее – субсидия) в Новосибирской области в 2024 году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усматривает распоряжение выделенными при ее предоставлении денежными средствами без участия гражданина путем направления непосредственно газораспределительной организации, с которой гражданином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31.12.2023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 договор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подключении (технологическ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 присоединении) газоиспользующего оборудования к сети газораспределения в рамках догазификации, либо дополнительное соглашение к договору о подключении (технологическом присоединении) газоиспользующего оборудования к сети газораспределения в рамках догаз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ификации, заключенному до 31.12.2023 (включительно)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принятия решения о 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убсидии газораспределительным организациям направляются государственным казенным учреждением Новосибирской области «Центр социальной поддержки населения г. Новосибирска»,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енными казенными учреждениями Новосибирской области (центрами социальной поддержки населения городов и районов Новосибирской области), подведомственными министерству труда и социального развития Новосибирской области, в который гражданин обратился за предо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ставлением субсидии (далее – центр социальной поддержки населения), в счет внесения платы за гражданина в следующем порядке: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50% от суммы договора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учетом налога на добавленную стоимость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течение 11 рабочих дней: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со дня заключения договора, если обращение за предоставлением субсидии посту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пило в срок,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превышающий четыре рабочих дня со дня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заключения договора;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со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дня обращения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получением субсидии, если обращение за предоставлением субсидии поступило в срок, превышающий четыре рабочих дня со дня заключения договора;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50% от суммы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оговора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учетом налога на добавленную стоимость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11 рабочих дней со дня подписания акта о подключении (технологическом присоединении)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газоиспользующего оборудования к сети газораспределения в рамках 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 о подключении (технологическом присоединении)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газоиспользующего обору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дования к сети газораспределения в рамках 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заверенный в установленном порядке,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газораспределительной организацией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центр социальной поддержки населения в течение одного рабочего дня со дня его подписания.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взаимодействия между гражданином, министерством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, газораспределительной организацией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1. Порядок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взаимодействия между гражданином, министерством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газораспределительной организацией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регулирует процедуру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взаимодействия гражданина, министерства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газораспределительной организации при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субсидий льготным категориям граждан на покупку и установку газоиспользующего обор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догазификации в рамках федерального проекта «Развитие рынка природного газа как моторного топлива»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Новосибирской области в 2024 году граждане, претендующие на получение субсидии, лично либо через уполномоченного представителя (далее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представитель) обращаются в государственные казенные учреждения Новосибирской области (центры социальной поддержки населения городов и районов Новосибирской области), в государственное казенное учреждение Новосибирской области «Центр социальной поддержки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населения г. Новосибирска» (клиентские службы), подведомственные министерству труда и социального развития Новосибирской области (далее – центр социальной поддержки населения), по месту жительства гражданина с документами, представляемыми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перечню документов, 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утвержденными настоящим постановлением (далее – документы).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регистрируются центром социальной поддержки населения в день их подачи.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Днем обращения гражданина (представителя) за получением субсидии является дата регистрации документов в центре социальной поддержки населения.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Центр социальной поддержки населения: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в течение пяти рабочих дней со дня обращения гражданина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представителя) за получением субсидии осуществляет посредством единой системы межведомственного электронного взаимодействия проверку полученных от гражданина (представителя) документов (сведений), по результатам которой принимает одно из следующих решений: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о предоставлении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случае, если представленные гражданином (представителем) документы подтверждают право гражданина на получение субсидии;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об отказе в предоставлении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случае, если по результатам проверки установлено, что гражданин: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имеет права на получение субсидии по поданным им документам;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ранее воспользовался правом на получение субсидии по домовладению, в отношении  которого представлены документы, и срок реализации этого права не превысил трех лет;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представил один или несколько документов, указанных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перечню документов, 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утвержденны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настоящим 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указал в документах недостоверные и/или неполные сведения.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 рассмотрения обращения гр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ажданина (представителя) за получением субсидии приостанавливается на 10 рабочих дней в случае непоступления центр социальной поддержки населения документов (сведений), запрашиваемых посредством единой системы межведомственного электронного взаимодействия;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в случае принятия решения о предоставлении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перечисляет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расчетный счет газораспределительной организации денеж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ные средства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порядком и сроками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предоставления субсидий льготным категориям граждан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утвержденными настоящим постановлением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одного рабочего дня со дня принятия такого решения направляет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письменное уведомление гражданину (представителю).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 В случае 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нятия решения об отказе в предоставлении субсидии центр социальной поддержки населения в течение одного рабочего со дня принятия такого решения направляет гражданину (представителю) уведомление об отказе в предоставлении субсидии с указанием причин отказа.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 (представитель), получивший отказ в предоставлении субсидии, имеет право на повторное обращение в центр социальной поддержки населения в случае устранения причин такого отказа.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центра социальной поддержки населения может быть оспорено гражданином или иными заинтересованными лицами в порядке, предусмотренном действующим законодательством.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ТРЕБОВАНИЯ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к документам, представляемым гражданами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льготным категориям граждан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В целях подтверждения статуса гражданина для определения его права на получение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льготным категориям граждан на покупку и установку газоиспользующего оборудования, проведение работ внутри границ их земе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субсидия) в Новосибирской области в 2024 году гражданин либо его уполномоченный представитель (далее – предс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тавитель) вправе представить по собственной инициативе в государственные казенные учреждения Новосибирской области (центры социальной поддержки населения городов и районов Новосибирской области), в государственное казенное учреждение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«Центр социальной поддержки населения г. Новосибирска» (клиентские службы), подведомственные министерству труда и социального развития Новосибирской области (далее – центр социальной поддержки населения), по месту жительства гражданина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удостоверение </w:t>
      </w:r>
      <w:commentRangeStart w:id="2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инвалида</w:t>
      </w:r>
      <w:commentRangeEnd w:id="2"/>
      <w:r>
        <w:commentReference w:id="2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Отечественной войны, удостоверение ветерана Великой Отечественной войны, удостоверение инвалида о праве на льготы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отношении инвалидов боевых действий)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выданные в соответствии с постановлением Минтруда Российской Федерации от 11.10.2000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 69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удостоверение ветерана боевых действий, выданное в соответствии с постановлением Правительства Российской Федерации от 19.12.2003 № 763 «Об удостоверении ветерана боевых действий»;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удостоверение родителей и жен погибших военнослужащих, выданное в соответствии с постановлением Госкомтруда СССР от 18.10.1989 № 345 «Об утверждении единой формы удостоверения о праве на льготы»;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члена семьи погибшего (умершего) инвалида войны, участника Великой Отечественной войны и ветерана боевых действий, выданное в соответствии с постановлением Правительства Российской Федерации от 20.06.2013 № 519 «Об удостоверении члена семьи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погибшего (умершего) инвалида войны, участника Великой Отечественной войны и ветерана боевых дейст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вий»;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справку, подтверждающую факт установления инвалидности I группы, выдаваемую федеральными государственными учреждениями медико-социальной экспертизы;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справку, подтверждающую факт установления ребенку (детям) инвалидности, выдаваемую федеральными государственными учреждениями медико-социальной экспертизы;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многодетной семьи, выданное в соответствии с постановлением Правительства Новосибирской области от 27.01.2012 № 41-п «О Порядке выдачи, продления действия, замены, признания недействительным удостоверения многодетной семьи и форме удостовер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ения многодетной семьи».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Для подтверждения </w:t>
      </w:r>
      <w:commentRangeStart w:id="3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статуса участника специальной </w:t>
      </w:r>
      <w:commentRangeEnd w:id="3"/>
      <w:r>
        <w:commentReference w:id="3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военной операции гражданин (представитель) представляет копию документа, подтверждающего участие гражданина в специальной военной операции на территориях Украины,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Донецкой Народной Республики, Луганской Народной Республики, Запорожской области и Херсонской области, выданного органом военного управления, объединением, соединением, воинской частью либо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Федеральной службы войск национальной гвардии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 (Росгвардии)</w:t>
      </w:r>
      <w:r>
        <w:rPr>
          <w:rFonts w:ascii="Times New Roman" w:hAnsi="Times New Roman" w:eastAsia="Times New Roman" w:cs="Times New Roman"/>
          <w:highlight w:val="white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подразделением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Федеральной службы безопасности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 (федеральная служба)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(ФСБ России)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органом федеральной службы безопасности, органами внутренних дел Российской Федерации либо военным комиссариатом.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Кроме того, для подтверждения отнесения гражданина к членам семьи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участника специальной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военной операции гражданин (представитель)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редставляет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видетельство о рождении,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свидетельство о заключении брака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(представляются по собственной инициативе, за исключением свидетельств о государственной регистрации актов гражданского состояния, выданных компетентным органом иностранного государства, и их нотариально удостовере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нных переводов на русский язык).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Для подтверждения статуса малоимущего одиноко проживающего гражданина (гражданина из малоимущей семьи) представляются документы, подтверждающие доходы заявителя (семьи заявител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я). Центр социальной поддержки населения производит исчисление среднедушевого дохода одиноко проживающего гражданина (гражданина из малоимущей семьи) в соответствии с Федеральным законом от 05.04.2003 № 44-ФЗ «О порядке учета доходов и расчета среднедушево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дохода семьи и дохода одиноко проживающего гражданина для признания их малоимущими и оказания им государственной социальной помощи», постановлением Правительства Российской Федерации от 20.08.2003 № 512 «О перечне видов доходов, учитываемых при расчете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среднедушевого дохода семьи и дохода одиноко проживающего гражданина для оказания им государственной социальной помощи». Одиноко проживающий гражданин (гражданин из малоимущей семьи) является малоимущим, если его среднедушевой доход ниже величины прожиточн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ого минимума, установленного в Новосибирской области на год подачи документов. Учет доходов ведется независимо от раздельного или совместного проживания супругов. Состав семьи определяется в соответствии со статьей 2 Семейного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Представляемые документы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В случае если документы, представляемые по собственной инициативе, не представлены заявителем (представителем), информация (сведения) о них запрашивается центром социальной поддержки населения посредством межведомственного информационного взаимодействия.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ТРЕБОВАНИЯ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b/>
          <w:bCs/>
          <w:highlight w:val="whit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  <w:t xml:space="preserve">к перечню документов, 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</w:r>
    </w:p>
    <w:p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ins w:id="0" w:author="imm" w:date="2024-03-06T10:21:57Z" oouserid="imm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</w:r>
      </w:ins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Для получения субсидий льготным категориям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покупку и установку газоиспользующего оборудования, провед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рамках федерального проекта «Развитие рынка природного газа как моторного топлива» (далее – субсидия) в Новосибирской области в 2024 году граждане, претендующие на получение субсидии, лично либо через уполномоченного представителя (далее – представитель)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представляют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лично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государственные казенные учреждения Новосибирской области (центры социальной поддержки населения городов и районов Новосибирской области), в государственное казенное учреждение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«Центр социальной поддержки населения г. Новосибирска» (клиентские службы), подведомственные министерству труда и социального развития Новосибирской области (далее – центр социальной поддержки населения), по месту жительства гражданина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паспорт или иной документ, удостоверяющий личность гражданина, и его копию;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документ, подтверждающий статус гражданина, поданный 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требованиями к документам, представляемым гражданами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утвержденными настоящим 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заявление гражданина о предоставлении субсидии (далее – заявление) по форме, утверждаемой министерством труда и социального развития Новосибирской области.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Заявление содержит в том числе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положения об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обязанности граждан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ина использовать субсидию только на цели, предусмотренные пунктом 1 Правил предоставления и распределения в 2024 году субсидий из федерального бюджета бюджетам субъектов Российской Федерации на софинансирование расходов по предоставлению субсидий льготным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категориям граждан на покупку и установку газоиспользующего оборудования, проведение работ при социальной газификации (догазификации), приведенных в приложении № 37 к государственной программе Российской Федерации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«Развитие энергетики», утвержденной постановлением Правительства Российской Федерации от 15.04.2014 № 321 «Об утверждении государственной программы Российской Федерации «Развитие энергетики» (далее – Правила),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гражданина на осуществление центром социальной поддержки населения в отношении него проверок соблюдения порядка, целей и условий предоставления субсидий гражданам,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установленных Правилами, а также об ознакомлении с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снованиями прекращения предоставления гражданину субсидии и основаниями для возврата гражданином субсидии, включающими нецелевое использование субсидии гражданином, расторжение договора о подключении (технологическом присоединении) газоиспользующего оборуд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ования к сети газораспределения в рамках догазификации, заключенного после 31.12.2023, либо дополнительного соглашения к договору о подключении (технологическом присоединении) газоиспользующего оборудования к сети газораспределения в рамках догазификации,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заключенному до 31.12.2023 (включительно) (далее – договор), утрату права на предоставление субсидии в период со дня подачи заявления до дня принятия решения о предоставлении субсидии, представление недостоверных сведений и документов при подаче заявления;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копию договора, заключенного гражданином;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 документ, удостоверяющий личность представителя, и его копию, и документ, удостоверяющий полномочия представителя, и его копию (в случае обращения представителя).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Гражданин (представитель) несет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ответственность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достоверность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сведений, указанных в заявлении, и сведений, содержащихся в представленных документах.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Запрещается требовать от гражданина (представителя) представления документов и сведений, не предусмотренных настоящими Требованиями.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и основания возврата средств субсидии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газоиспользующего оборудования и объектов капитального строительства к газораспределительным сетям при догазификации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в рамках федерального проекта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«Развитие рынка природного газа как моторного топлива»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Контроль за целевым использованием субсидий льготным категориям граждан на покупку и установку газоиспользующего обору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рамках федерального проекта «Развитие рынка природного газа как моторного топлива» (далее – субсидия) в Новосибирской области в 2024 году осуществляется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Основаниями для возврата денежных средств субсидии являются: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использование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 субсидии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цели, отличные от предусмотренных пунктом 1 Правил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редоставления и распределения в 2024 году субсидий из федерального бюджета бюджетам субъектов Российской Федерации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софинансирование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приведенных в приложении № 37 к государственной программе Российской Федерации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«Развитие энергетики», утвержденной постановлением Правительства Российской Федерации от 15.04.2014 № 321 «Об утверждении государственной программы Российской Федерации «Развитие энергетики»;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представление гражданином недостоверных сведений и документов при подаче заявления о предоставлении субсидии.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В случае нецелевого расходования субсидии газораспределительной организацией сум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 денежных средств субсидии возвращается в добровольном порядке. В случае отказа газораспределительной организации от добровольного возмещения затрат возврат указанных средств осуществляется в порядке, установленном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Средства субсидии при ее возврате взыскиваются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газораспределительной 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бюджет Новосибирской области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Требование о возврате денежных средств субсидии с указанием порядка их возврата в течение 30 дней со дня обнаружения оснований для возврата денежных средств субсидии в адрес газораспределительной организации направляется: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министерством труда и социального развития Новосибирской области – в случае выявления основания для возврата денежных средств субсидии, указанного в подпункте 1 пункта 2 настоящего Порядка;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государственным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казенным учреждением Новосибирской области «Центр социальной поддержки населения г. Новосибирска», государственными казенными учреждениями Новосибирской области (центрами социальной поддержки населения городов и районов Новосибирской области), подведомств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енными министерству труда и социального развития Новосибирской области, в который гражданин обратился за предоставлением субсидии, – в случае выявления основания для возврата денежных средств субсидии, указанного в подпункте 2 пункта 2 настоящего Порядка.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Денежные средства субсидии подлежат возврату газораспределительной организацией в бюджет Новосибирской области в течение семи дней со дня получения газораспределительной организацией требования о возврате денежных средств субсидии.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 При невыполнении требования о возврате денежных средств субсидии в указанный срок они взыскиваются с газораспределительной организации в судебном порядке.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0" w:h="16800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Александрова Дарья Владимировна" w:date="2024-02-29T15:48:00Z" w:initials="А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Как подтвердить членам семьи?</w:t>
      </w:r>
    </w:p>
  </w:comment>
  <w:comment w:id="2" w:author="imm" w:date="2024-03-11T14:56:35Z" w:initials="i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Постановление №126 от 26.05.1975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ошников Дмитрий Владимирович" w:date="2024-02-29T16:24:00Z" w:initials="С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Расшифровать сокращения</w:t>
      </w:r>
    </w:p>
  </w:comment>
  <w:comment w:id="1" w:author="Сошников Дмитрий Владимирович" w:date="2024-02-29T16:24:00Z" w:initials="СДВ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Расшифровать сокращения</w:t>
      </w:r>
    </w:p>
  </w:comment>
  <w:comment w:id="2" w:author="Александрова Дарья Владимировна" w:date="2024-02-29T15:06:00Z" w:initials="АДВ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 выше</w:t>
      </w:r>
    </w:p>
  </w:comment>
  <w:comment w:id="3" w:author="Александрова Дарья Владимировна" w:date="2024-02-29T15:06:00Z" w:initials="АДВ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Представить в пояснительной обоснование предлагаемого решения , так как в Правилах № 37 не определено, что расходные обязательства возникают при реализации приобретения газообразующего оборудования)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ED15B" w16cex:dateUtc="2024-03-11T07:56: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6D1F7A4"/>
  <w16cid:commentId w16cid:paraId="00000002" w16cid:durableId="24FED15B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AF553C9"/>
  <w16cid:commentId w16cid:paraId="00000002" w16cid:durableId="250BEC04"/>
  <w16cid:commentId w16cid:paraId="00000003" w16cid:durableId="76F7B05E"/>
  <w16cid:commentId w16cid:paraId="00000004" w16cid:durableId="2BD250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0050600000002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ова Дарья Владимировна">
    <w15:presenceInfo w15:providerId="AD" w15:userId="S-1-5-21-2356655543-2162514679-1277178298-39955"/>
  </w15:person>
  <w15:person w15:author="imm">
    <w15:presenceInfo w15:providerId="Teamlab" w15:userId="imm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шников Дмитрий Владимирович">
    <w15:presenceInfo w15:providerId="AD" w15:userId="S-1-5-21-2356655543-2162514679-1277178298-3771"/>
  </w15:person>
  <w15:person w15:author="Александрова Дарья Владимировна">
    <w15:presenceInfo w15:providerId="AD" w15:userId="S-1-5-21-2356655543-2162514679-1277178298-39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7"/>
    <w:link w:val="711"/>
    <w:uiPriority w:val="10"/>
    <w:rPr>
      <w:sz w:val="48"/>
      <w:szCs w:val="48"/>
    </w:rPr>
  </w:style>
  <w:style w:type="character" w:styleId="682">
    <w:name w:val="Subtitle Char"/>
    <w:basedOn w:val="697"/>
    <w:link w:val="713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pPr>
      <w:ind w:firstLine="720"/>
      <w:jc w:val="both"/>
      <w:widowControl w:val="off"/>
    </w:pPr>
    <w:rPr>
      <w:rFonts w:ascii="Arial" w:hAnsi="Arial"/>
      <w:sz w:val="24"/>
      <w:szCs w:val="24"/>
    </w:rPr>
  </w:style>
  <w:style w:type="paragraph" w:styleId="688">
    <w:name w:val="Heading 1"/>
    <w:basedOn w:val="687"/>
    <w:next w:val="687"/>
    <w:link w:val="869"/>
    <w:uiPriority w:val="9"/>
    <w:qFormat/>
    <w:pPr>
      <w:ind w:firstLine="0"/>
      <w:jc w:val="center"/>
      <w:spacing w:before="108" w:after="108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689">
    <w:name w:val="Heading 2"/>
    <w:basedOn w:val="687"/>
    <w:next w:val="687"/>
    <w:link w:val="870"/>
    <w:uiPriority w:val="9"/>
    <w:qFormat/>
    <w:pPr>
      <w:outlineLvl w:val="1"/>
    </w:pPr>
    <w:rPr>
      <w:i/>
      <w:iCs/>
      <w:sz w:val="28"/>
      <w:szCs w:val="28"/>
    </w:rPr>
  </w:style>
  <w:style w:type="paragraph" w:styleId="690">
    <w:name w:val="Heading 3"/>
    <w:basedOn w:val="687"/>
    <w:next w:val="687"/>
    <w:link w:val="871"/>
    <w:uiPriority w:val="9"/>
    <w:qFormat/>
    <w:pPr>
      <w:outlineLvl w:val="2"/>
    </w:pPr>
    <w:rPr>
      <w:sz w:val="26"/>
      <w:szCs w:val="26"/>
    </w:rPr>
  </w:style>
  <w:style w:type="paragraph" w:styleId="691">
    <w:name w:val="Heading 4"/>
    <w:basedOn w:val="687"/>
    <w:next w:val="687"/>
    <w:link w:val="872"/>
    <w:uiPriority w:val="9"/>
    <w:qFormat/>
    <w:pPr>
      <w:outlineLvl w:val="3"/>
    </w:pPr>
    <w:rPr>
      <w:rFonts w:ascii="Calibri" w:hAnsi="Calibri"/>
      <w:sz w:val="28"/>
      <w:szCs w:val="28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uiPriority w:val="9"/>
    <w:rPr>
      <w:rFonts w:ascii="Arial" w:hAnsi="Arial" w:eastAsia="Arial" w:cs="Arial"/>
      <w:sz w:val="34"/>
    </w:rPr>
  </w:style>
  <w:style w:type="character" w:styleId="70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711">
    <w:name w:val="Title"/>
    <w:basedOn w:val="687"/>
    <w:next w:val="687"/>
    <w:link w:val="712"/>
    <w:uiPriority w:val="99"/>
    <w:rPr>
      <w:b/>
      <w:bCs/>
      <w:color w:val="0058a9"/>
      <w:shd w:val="clear" w:color="auto" w:fill="f0f0f0"/>
    </w:rPr>
  </w:style>
  <w:style w:type="character" w:styleId="712" w:customStyle="1">
    <w:name w:val="Заголовок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9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Header Char"/>
    <w:uiPriority w:val="99"/>
  </w:style>
  <w:style w:type="paragraph" w:styleId="721">
    <w:name w:val="Footer"/>
    <w:basedOn w:val="687"/>
    <w:link w:val="9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uiPriority w:val="99"/>
    <w:unhideWhenUsed/>
    <w:rPr>
      <w:rFonts w:ascii="Verdana" w:hAnsi="Verdana" w:cs="Times New Roman"/>
      <w:color w:val="314351"/>
      <w:u w:val="non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ind w:firstLine="0"/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 w:firstLine="0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 w:firstLine="0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 w:firstLine="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 w:firstLine="0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 w:firstLine="0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 w:firstLine="0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 w:firstLine="0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 w:firstLine="0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87"/>
    <w:next w:val="687"/>
    <w:uiPriority w:val="99"/>
    <w:unhideWhenUsed/>
  </w:style>
  <w:style w:type="character" w:styleId="869" w:customStyle="1">
    <w:name w:val="Заголовок 1 Знак"/>
    <w:link w:val="688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0" w:customStyle="1">
    <w:name w:val="Заголовок 2 Знак"/>
    <w:link w:val="689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71" w:customStyle="1">
    <w:name w:val="Заголовок 3 Знак"/>
    <w:link w:val="690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72" w:customStyle="1">
    <w:name w:val="Заголовок 4 Знак"/>
    <w:link w:val="691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73" w:customStyle="1">
    <w:name w:val="Цветовое выделение"/>
    <w:uiPriority w:val="99"/>
    <w:rPr>
      <w:b/>
      <w:color w:val="26282f"/>
    </w:rPr>
  </w:style>
  <w:style w:type="character" w:styleId="874" w:customStyle="1">
    <w:name w:val="Гипертекстовая ссылка"/>
    <w:uiPriority w:val="99"/>
    <w:rPr>
      <w:rFonts w:cs="Times New Roman"/>
      <w:b/>
      <w:color w:val="106bbe"/>
    </w:rPr>
  </w:style>
  <w:style w:type="character" w:styleId="875" w:customStyle="1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styleId="876" w:customStyle="1">
    <w:name w:val="Внимание"/>
    <w:basedOn w:val="687"/>
    <w:next w:val="687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877" w:customStyle="1">
    <w:name w:val="Внимание: криминал!!"/>
    <w:basedOn w:val="876"/>
    <w:next w:val="687"/>
    <w:uiPriority w:val="99"/>
  </w:style>
  <w:style w:type="paragraph" w:styleId="878" w:customStyle="1">
    <w:name w:val="Внимание: недобросовестность!"/>
    <w:basedOn w:val="876"/>
    <w:next w:val="687"/>
    <w:uiPriority w:val="99"/>
  </w:style>
  <w:style w:type="character" w:styleId="879" w:customStyle="1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styleId="880" w:customStyle="1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styleId="881" w:customStyle="1">
    <w:name w:val="Дочерний элемент списка"/>
    <w:basedOn w:val="687"/>
    <w:next w:val="687"/>
    <w:uiPriority w:val="99"/>
    <w:pPr>
      <w:ind w:firstLine="0"/>
    </w:pPr>
    <w:rPr>
      <w:color w:val="868381"/>
      <w:sz w:val="20"/>
      <w:szCs w:val="20"/>
    </w:rPr>
  </w:style>
  <w:style w:type="paragraph" w:styleId="882" w:customStyle="1">
    <w:name w:val="Основное меню (преемственное)"/>
    <w:basedOn w:val="687"/>
    <w:next w:val="687"/>
    <w:uiPriority w:val="99"/>
    <w:rPr>
      <w:rFonts w:ascii="Verdana" w:hAnsi="Verdana" w:cs="Verdana"/>
      <w:sz w:val="22"/>
      <w:szCs w:val="22"/>
    </w:rPr>
  </w:style>
  <w:style w:type="paragraph" w:styleId="883" w:customStyle="1">
    <w:name w:val="Заголовок группы контролов"/>
    <w:basedOn w:val="687"/>
    <w:next w:val="687"/>
    <w:uiPriority w:val="99"/>
    <w:rPr>
      <w:b/>
      <w:bCs/>
      <w:color w:val="000000"/>
    </w:rPr>
  </w:style>
  <w:style w:type="paragraph" w:styleId="884" w:customStyle="1">
    <w:name w:val="Заголовок для информации об изменениях"/>
    <w:basedOn w:val="688"/>
    <w:next w:val="687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885" w:customStyle="1">
    <w:name w:val="Заголовок распахивающейся части диалога"/>
    <w:basedOn w:val="687"/>
    <w:next w:val="687"/>
    <w:uiPriority w:val="99"/>
    <w:rPr>
      <w:i/>
      <w:iCs/>
      <w:color w:val="000080"/>
      <w:sz w:val="22"/>
      <w:szCs w:val="22"/>
    </w:rPr>
  </w:style>
  <w:style w:type="character" w:styleId="886" w:customStyle="1">
    <w:name w:val="Заголовок своего сообщения"/>
    <w:uiPriority w:val="99"/>
    <w:rPr>
      <w:rFonts w:cs="Times New Roman"/>
      <w:b/>
      <w:bCs/>
      <w:color w:val="26282f"/>
    </w:rPr>
  </w:style>
  <w:style w:type="paragraph" w:styleId="887" w:customStyle="1">
    <w:name w:val="Заголовок статьи"/>
    <w:basedOn w:val="687"/>
    <w:next w:val="687"/>
    <w:uiPriority w:val="99"/>
    <w:pPr>
      <w:ind w:left="1612" w:hanging="892"/>
    </w:pPr>
  </w:style>
  <w:style w:type="character" w:styleId="888" w:customStyle="1">
    <w:name w:val="Заголовок чужого сообщения"/>
    <w:uiPriority w:val="99"/>
    <w:rPr>
      <w:rFonts w:cs="Times New Roman"/>
      <w:b/>
      <w:bCs/>
      <w:color w:val="ff0000"/>
    </w:rPr>
  </w:style>
  <w:style w:type="paragraph" w:styleId="889" w:customStyle="1">
    <w:name w:val="Заголовок ЭР (левое окно)"/>
    <w:basedOn w:val="687"/>
    <w:next w:val="687"/>
    <w:uiPriority w:val="99"/>
    <w:pPr>
      <w:ind w:firstLine="0"/>
      <w:jc w:val="center"/>
      <w:spacing w:before="300" w:after="250"/>
    </w:pPr>
    <w:rPr>
      <w:b/>
      <w:bCs/>
      <w:color w:val="26282f"/>
      <w:sz w:val="26"/>
      <w:szCs w:val="26"/>
    </w:rPr>
  </w:style>
  <w:style w:type="paragraph" w:styleId="890" w:customStyle="1">
    <w:name w:val="Заголовок ЭР (правое окно)"/>
    <w:basedOn w:val="889"/>
    <w:next w:val="687"/>
    <w:uiPriority w:val="99"/>
    <w:pPr>
      <w:jc w:val="left"/>
      <w:spacing w:after="0"/>
    </w:pPr>
  </w:style>
  <w:style w:type="paragraph" w:styleId="891" w:customStyle="1">
    <w:name w:val="Интерактивный заголовок"/>
    <w:basedOn w:val="711"/>
    <w:next w:val="687"/>
    <w:uiPriority w:val="99"/>
    <w:rPr>
      <w:u w:val="single"/>
    </w:rPr>
  </w:style>
  <w:style w:type="paragraph" w:styleId="892" w:customStyle="1">
    <w:name w:val="Текст информации об изменениях"/>
    <w:basedOn w:val="687"/>
    <w:next w:val="687"/>
    <w:uiPriority w:val="99"/>
    <w:rPr>
      <w:color w:val="353842"/>
      <w:sz w:val="18"/>
      <w:szCs w:val="18"/>
    </w:rPr>
  </w:style>
  <w:style w:type="paragraph" w:styleId="893" w:customStyle="1">
    <w:name w:val="Информация об изменениях"/>
    <w:basedOn w:val="892"/>
    <w:next w:val="687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894" w:customStyle="1">
    <w:name w:val="Текст (справка)"/>
    <w:basedOn w:val="687"/>
    <w:next w:val="687"/>
    <w:uiPriority w:val="99"/>
    <w:pPr>
      <w:ind w:left="170" w:right="170" w:firstLine="0"/>
      <w:jc w:val="left"/>
    </w:pPr>
  </w:style>
  <w:style w:type="paragraph" w:styleId="895" w:customStyle="1">
    <w:name w:val="Комментарий"/>
    <w:basedOn w:val="894"/>
    <w:next w:val="687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96" w:customStyle="1">
    <w:name w:val="Информация об изменениях документа"/>
    <w:basedOn w:val="895"/>
    <w:next w:val="687"/>
    <w:uiPriority w:val="99"/>
    <w:rPr>
      <w:i/>
      <w:iCs/>
    </w:rPr>
  </w:style>
  <w:style w:type="paragraph" w:styleId="897" w:customStyle="1">
    <w:name w:val="Текст (лев. подпись)"/>
    <w:basedOn w:val="687"/>
    <w:next w:val="687"/>
    <w:uiPriority w:val="99"/>
    <w:pPr>
      <w:ind w:firstLine="0"/>
      <w:jc w:val="left"/>
    </w:pPr>
  </w:style>
  <w:style w:type="paragraph" w:styleId="898" w:customStyle="1">
    <w:name w:val="Колонтитул (левый)"/>
    <w:basedOn w:val="897"/>
    <w:next w:val="687"/>
    <w:uiPriority w:val="99"/>
    <w:rPr>
      <w:sz w:val="14"/>
      <w:szCs w:val="14"/>
    </w:rPr>
  </w:style>
  <w:style w:type="paragraph" w:styleId="899" w:customStyle="1">
    <w:name w:val="Текст (прав. подпись)"/>
    <w:basedOn w:val="687"/>
    <w:next w:val="687"/>
    <w:uiPriority w:val="99"/>
    <w:pPr>
      <w:ind w:firstLine="0"/>
      <w:jc w:val="right"/>
    </w:pPr>
  </w:style>
  <w:style w:type="paragraph" w:styleId="900" w:customStyle="1">
    <w:name w:val="Колонтитул (правый)"/>
    <w:basedOn w:val="899"/>
    <w:next w:val="687"/>
    <w:uiPriority w:val="99"/>
    <w:rPr>
      <w:sz w:val="14"/>
      <w:szCs w:val="14"/>
    </w:rPr>
  </w:style>
  <w:style w:type="paragraph" w:styleId="901" w:customStyle="1">
    <w:name w:val="Комментарий пользователя"/>
    <w:basedOn w:val="895"/>
    <w:next w:val="687"/>
    <w:uiPriority w:val="99"/>
    <w:pPr>
      <w:jc w:val="left"/>
    </w:pPr>
    <w:rPr>
      <w:shd w:val="clear" w:color="auto" w:fill="ffdfe0"/>
    </w:rPr>
  </w:style>
  <w:style w:type="paragraph" w:styleId="902" w:customStyle="1">
    <w:name w:val="Куда обратиться?"/>
    <w:basedOn w:val="876"/>
    <w:next w:val="687"/>
    <w:uiPriority w:val="99"/>
  </w:style>
  <w:style w:type="paragraph" w:styleId="903" w:customStyle="1">
    <w:name w:val="Моноширинный"/>
    <w:basedOn w:val="687"/>
    <w:next w:val="687"/>
    <w:uiPriority w:val="99"/>
    <w:pPr>
      <w:ind w:firstLine="0"/>
      <w:jc w:val="left"/>
    </w:pPr>
    <w:rPr>
      <w:rFonts w:ascii="Courier New" w:hAnsi="Courier New" w:cs="Courier New"/>
    </w:rPr>
  </w:style>
  <w:style w:type="character" w:styleId="904" w:customStyle="1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character" w:styleId="905" w:customStyle="1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styleId="906" w:customStyle="1">
    <w:name w:val="Необходимые документы"/>
    <w:basedOn w:val="876"/>
    <w:next w:val="687"/>
    <w:uiPriority w:val="99"/>
    <w:pPr>
      <w:ind w:firstLine="118"/>
    </w:pPr>
  </w:style>
  <w:style w:type="paragraph" w:styleId="907" w:customStyle="1">
    <w:name w:val="Нормальный (таблица)"/>
    <w:basedOn w:val="687"/>
    <w:next w:val="687"/>
    <w:uiPriority w:val="99"/>
    <w:pPr>
      <w:ind w:firstLine="0"/>
    </w:pPr>
  </w:style>
  <w:style w:type="paragraph" w:styleId="908" w:customStyle="1">
    <w:name w:val="Таблицы (моноширинный)"/>
    <w:basedOn w:val="687"/>
    <w:next w:val="687"/>
    <w:uiPriority w:val="99"/>
    <w:pPr>
      <w:ind w:firstLine="0"/>
      <w:jc w:val="left"/>
    </w:pPr>
    <w:rPr>
      <w:rFonts w:ascii="Courier New" w:hAnsi="Courier New" w:cs="Courier New"/>
    </w:rPr>
  </w:style>
  <w:style w:type="paragraph" w:styleId="909" w:customStyle="1">
    <w:name w:val="Оглавление"/>
    <w:basedOn w:val="908"/>
    <w:next w:val="687"/>
    <w:uiPriority w:val="99"/>
    <w:pPr>
      <w:ind w:left="140"/>
    </w:pPr>
  </w:style>
  <w:style w:type="character" w:styleId="910" w:customStyle="1">
    <w:name w:val="Опечатки"/>
    <w:uiPriority w:val="99"/>
    <w:rPr>
      <w:color w:val="ff0000"/>
    </w:rPr>
  </w:style>
  <w:style w:type="paragraph" w:styleId="911" w:customStyle="1">
    <w:name w:val="Переменная часть"/>
    <w:basedOn w:val="882"/>
    <w:next w:val="687"/>
    <w:uiPriority w:val="99"/>
    <w:rPr>
      <w:sz w:val="18"/>
      <w:szCs w:val="18"/>
    </w:rPr>
  </w:style>
  <w:style w:type="paragraph" w:styleId="912" w:customStyle="1">
    <w:name w:val="Подвал для информации об изменениях"/>
    <w:basedOn w:val="688"/>
    <w:next w:val="687"/>
    <w:uiPriority w:val="99"/>
    <w:pPr>
      <w:outlineLvl w:val="9"/>
    </w:pPr>
    <w:rPr>
      <w:b w:val="0"/>
      <w:bCs w:val="0"/>
      <w:sz w:val="18"/>
      <w:szCs w:val="18"/>
    </w:rPr>
  </w:style>
  <w:style w:type="paragraph" w:styleId="913" w:customStyle="1">
    <w:name w:val="Подзаголовок для информации об изменениях"/>
    <w:basedOn w:val="892"/>
    <w:next w:val="687"/>
    <w:uiPriority w:val="99"/>
    <w:rPr>
      <w:b/>
      <w:bCs/>
    </w:rPr>
  </w:style>
  <w:style w:type="paragraph" w:styleId="914" w:customStyle="1">
    <w:name w:val="Подчёркнуный текст"/>
    <w:basedOn w:val="687"/>
    <w:next w:val="687"/>
    <w:uiPriority w:val="99"/>
  </w:style>
  <w:style w:type="paragraph" w:styleId="915" w:customStyle="1">
    <w:name w:val="Постоянная часть"/>
    <w:basedOn w:val="882"/>
    <w:next w:val="687"/>
    <w:uiPriority w:val="99"/>
    <w:rPr>
      <w:sz w:val="20"/>
      <w:szCs w:val="20"/>
    </w:rPr>
  </w:style>
  <w:style w:type="paragraph" w:styleId="916" w:customStyle="1">
    <w:name w:val="Прижатый влево"/>
    <w:basedOn w:val="687"/>
    <w:next w:val="687"/>
    <w:uiPriority w:val="99"/>
    <w:pPr>
      <w:ind w:firstLine="0"/>
      <w:jc w:val="left"/>
    </w:pPr>
  </w:style>
  <w:style w:type="paragraph" w:styleId="917" w:customStyle="1">
    <w:name w:val="Пример."/>
    <w:basedOn w:val="876"/>
    <w:next w:val="687"/>
    <w:uiPriority w:val="99"/>
  </w:style>
  <w:style w:type="paragraph" w:styleId="918" w:customStyle="1">
    <w:name w:val="Примечание."/>
    <w:basedOn w:val="876"/>
    <w:next w:val="687"/>
    <w:uiPriority w:val="99"/>
  </w:style>
  <w:style w:type="character" w:styleId="919" w:customStyle="1">
    <w:name w:val="Продолжение ссылки"/>
    <w:uiPriority w:val="99"/>
    <w:rPr>
      <w:rFonts w:cs="Times New Roman"/>
      <w:b/>
      <w:color w:val="106bbe"/>
    </w:rPr>
  </w:style>
  <w:style w:type="paragraph" w:styleId="920" w:customStyle="1">
    <w:name w:val="Словарная статья"/>
    <w:basedOn w:val="687"/>
    <w:next w:val="687"/>
    <w:uiPriority w:val="99"/>
    <w:pPr>
      <w:ind w:right="118" w:firstLine="0"/>
    </w:pPr>
  </w:style>
  <w:style w:type="character" w:styleId="921" w:customStyle="1">
    <w:name w:val="Сравнение редакций"/>
    <w:uiPriority w:val="99"/>
    <w:rPr>
      <w:rFonts w:cs="Times New Roman"/>
      <w:b/>
      <w:color w:val="26282f"/>
    </w:rPr>
  </w:style>
  <w:style w:type="character" w:styleId="922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923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924" w:customStyle="1">
    <w:name w:val="Ссылка на официальную публикацию"/>
    <w:basedOn w:val="687"/>
    <w:next w:val="687"/>
    <w:uiPriority w:val="99"/>
  </w:style>
  <w:style w:type="paragraph" w:styleId="925" w:customStyle="1">
    <w:name w:val="Текст в таблице"/>
    <w:basedOn w:val="907"/>
    <w:next w:val="687"/>
    <w:uiPriority w:val="99"/>
    <w:pPr>
      <w:ind w:firstLine="500"/>
    </w:pPr>
  </w:style>
  <w:style w:type="paragraph" w:styleId="926" w:customStyle="1">
    <w:name w:val="Текст ЭР (см. также)"/>
    <w:basedOn w:val="687"/>
    <w:next w:val="687"/>
    <w:uiPriority w:val="99"/>
    <w:pPr>
      <w:ind w:firstLine="0"/>
      <w:jc w:val="left"/>
      <w:spacing w:before="200"/>
    </w:pPr>
    <w:rPr>
      <w:sz w:val="20"/>
      <w:szCs w:val="20"/>
    </w:rPr>
  </w:style>
  <w:style w:type="paragraph" w:styleId="927" w:customStyle="1">
    <w:name w:val="Технический комментарий"/>
    <w:basedOn w:val="687"/>
    <w:next w:val="687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styleId="928" w:customStyle="1">
    <w:name w:val="Утратил силу"/>
    <w:uiPriority w:val="99"/>
    <w:rPr>
      <w:rFonts w:cs="Times New Roman"/>
      <w:b/>
      <w:strike/>
      <w:color w:val="666600"/>
    </w:rPr>
  </w:style>
  <w:style w:type="paragraph" w:styleId="929" w:customStyle="1">
    <w:name w:val="Формула"/>
    <w:basedOn w:val="687"/>
    <w:next w:val="687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930" w:customStyle="1">
    <w:name w:val="Центрированный (таблица)"/>
    <w:basedOn w:val="907"/>
    <w:next w:val="687"/>
    <w:uiPriority w:val="99"/>
    <w:pPr>
      <w:jc w:val="center"/>
    </w:pPr>
  </w:style>
  <w:style w:type="paragraph" w:styleId="931" w:customStyle="1">
    <w:name w:val="ЭР-содержание (правое окно)"/>
    <w:basedOn w:val="687"/>
    <w:next w:val="687"/>
    <w:uiPriority w:val="99"/>
    <w:pPr>
      <w:ind w:firstLine="0"/>
      <w:jc w:val="left"/>
      <w:spacing w:before="300"/>
    </w:pPr>
  </w:style>
  <w:style w:type="paragraph" w:styleId="932">
    <w:name w:val="Body Text"/>
    <w:basedOn w:val="687"/>
    <w:link w:val="933"/>
    <w:uiPriority w:val="99"/>
    <w:pPr>
      <w:ind w:firstLine="0"/>
      <w:jc w:val="left"/>
      <w:spacing w:after="120"/>
      <w:widowControl/>
    </w:pPr>
    <w:rPr>
      <w:rFonts w:ascii="Times New Roman" w:hAnsi="Times New Roman"/>
      <w:sz w:val="20"/>
      <w:szCs w:val="20"/>
      <w:lang w:val="en-US" w:eastAsia="en-US"/>
    </w:rPr>
  </w:style>
  <w:style w:type="character" w:styleId="933" w:customStyle="1">
    <w:name w:val="Основной текст Знак"/>
    <w:link w:val="932"/>
    <w:uiPriority w:val="99"/>
    <w:rPr>
      <w:rFonts w:cs="Times New Roman"/>
      <w:sz w:val="20"/>
      <w:szCs w:val="20"/>
    </w:rPr>
  </w:style>
  <w:style w:type="paragraph" w:styleId="934">
    <w:name w:val="Normal (Web)"/>
    <w:basedOn w:val="687"/>
    <w:uiPriority w:val="99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SimSun"/>
      <w:lang w:eastAsia="zh-CN"/>
    </w:rPr>
  </w:style>
  <w:style w:type="paragraph" w:styleId="935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36" w:customStyle="1">
    <w:name w:val="Название"/>
    <w:basedOn w:val="687"/>
    <w:link w:val="937"/>
    <w:uiPriority w:val="99"/>
    <w:qFormat/>
    <w:pPr>
      <w:ind w:firstLine="0"/>
      <w:jc w:val="center"/>
      <w:widowControl/>
    </w:pPr>
    <w:rPr>
      <w:rFonts w:ascii="Times New Roman" w:hAnsi="Times New Roman"/>
      <w:b/>
      <w:sz w:val="20"/>
      <w:szCs w:val="20"/>
      <w:lang w:val="en-US" w:eastAsia="en-US"/>
    </w:rPr>
  </w:style>
  <w:style w:type="character" w:styleId="937" w:customStyle="1">
    <w:name w:val="Название Знак"/>
    <w:link w:val="936"/>
    <w:uiPriority w:val="99"/>
    <w:rPr>
      <w:rFonts w:cs="Times New Roman"/>
      <w:b/>
      <w:sz w:val="20"/>
      <w:szCs w:val="20"/>
    </w:rPr>
  </w:style>
  <w:style w:type="paragraph" w:styleId="938">
    <w:name w:val="Balloon Text"/>
    <w:basedOn w:val="687"/>
    <w:link w:val="939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39" w:customStyle="1">
    <w:name w:val="Текст выноски Знак"/>
    <w:link w:val="938"/>
    <w:uiPriority w:val="99"/>
    <w:semiHidden/>
    <w:rPr>
      <w:rFonts w:ascii="Tahoma" w:hAnsi="Tahoma" w:cs="Tahoma"/>
      <w:sz w:val="16"/>
      <w:szCs w:val="16"/>
    </w:rPr>
  </w:style>
  <w:style w:type="character" w:styleId="940" w:customStyle="1">
    <w:name w:val="Верхний колонтитул Знак"/>
    <w:link w:val="719"/>
    <w:uiPriority w:val="99"/>
    <w:rPr>
      <w:rFonts w:ascii="Arial" w:hAnsi="Arial"/>
      <w:sz w:val="24"/>
      <w:szCs w:val="24"/>
    </w:rPr>
  </w:style>
  <w:style w:type="character" w:styleId="941" w:customStyle="1">
    <w:name w:val="Нижний колонтитул Знак"/>
    <w:link w:val="721"/>
    <w:uiPriority w:val="99"/>
    <w:rPr>
      <w:rFonts w:ascii="Arial" w:hAnsi="Arial"/>
      <w:sz w:val="24"/>
      <w:szCs w:val="24"/>
    </w:rPr>
  </w:style>
  <w:style w:type="paragraph" w:styleId="942" w:customStyle="1">
    <w:name w:val="ConsPlusNormal"/>
    <w:rPr>
      <w:sz w:val="28"/>
      <w:szCs w:val="28"/>
    </w:rPr>
  </w:style>
  <w:style w:type="character" w:styleId="943">
    <w:name w:val="annotation reference"/>
    <w:uiPriority w:val="99"/>
    <w:semiHidden/>
    <w:unhideWhenUsed/>
    <w:rPr>
      <w:sz w:val="16"/>
      <w:szCs w:val="16"/>
    </w:rPr>
  </w:style>
  <w:style w:type="paragraph" w:styleId="944">
    <w:name w:val="annotation text"/>
    <w:basedOn w:val="687"/>
    <w:link w:val="945"/>
    <w:uiPriority w:val="99"/>
    <w:semiHidden/>
    <w:unhideWhenUsed/>
    <w:rPr>
      <w:sz w:val="20"/>
      <w:szCs w:val="20"/>
    </w:rPr>
  </w:style>
  <w:style w:type="character" w:styleId="945" w:customStyle="1">
    <w:name w:val="Текст примечания Знак"/>
    <w:link w:val="944"/>
    <w:uiPriority w:val="99"/>
    <w:semiHidden/>
    <w:rPr>
      <w:rFonts w:ascii="Arial" w:hAnsi="Arial"/>
    </w:rPr>
  </w:style>
  <w:style w:type="paragraph" w:styleId="946">
    <w:name w:val="annotation subject"/>
    <w:basedOn w:val="944"/>
    <w:next w:val="944"/>
    <w:link w:val="947"/>
    <w:uiPriority w:val="99"/>
    <w:semiHidden/>
    <w:unhideWhenUsed/>
    <w:rPr>
      <w:b/>
      <w:bCs/>
    </w:rPr>
  </w:style>
  <w:style w:type="character" w:styleId="947" w:customStyle="1">
    <w:name w:val="Тема примечания Знак"/>
    <w:link w:val="946"/>
    <w:uiPriority w:val="99"/>
    <w:semiHidden/>
    <w:rPr>
      <w:rFonts w:ascii="Arial" w:hAnsi="Arial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omments" Target="comments.xml" /><Relationship Id="rId12" Type="http://schemas.microsoft.com/office/2011/relationships/commentsExtended" Target="commentsExtended.xml" /><Relationship Id="rId13" Type="http://schemas.microsoft.com/office/2018/08/relationships/commentsExtensible" Target="commentsExtensible.xml" /><Relationship Id="rId14" Type="http://schemas.microsoft.com/office/2016/09/relationships/commentsIds" Target="commentsIds.xml" /><Relationship Id="rId15" Type="http://schemas.microsoft.com/office/2011/relationships/people" Target="people.xml" /><Relationship Id="rId16" Type="http://schemas.onlyoffice.com/commentsDocument" Target="commentsDocument.xml" /><Relationship Id="rId17" Type="http://schemas.onlyoffice.com/commentsExtendedDocument" Target="commentsExtendedDocument.xml" /><Relationship Id="rId18" Type="http://schemas.onlyoffice.com/commentsIdsDocument" Target="commentsIdsDocument.xml" /><Relationship Id="rId19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7772-0417-4AF1-AAC7-B050CD4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Волгограда от 16 июля 2014 г</dc:title>
  <dc:creator>НПП "Гарант-Сервис"</dc:creator>
  <dc:description>Документ экспортирован из системы ГАРАНТ</dc:description>
  <cp:revision>45</cp:revision>
  <dcterms:created xsi:type="dcterms:W3CDTF">2023-02-16T05:03:00Z</dcterms:created>
  <dcterms:modified xsi:type="dcterms:W3CDTF">2024-03-12T04:54:34Z</dcterms:modified>
  <cp:version>983040</cp:version>
</cp:coreProperties>
</file>