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639" w:right="-735" w:firstLine="0"/>
        <w:jc w:val="center"/>
        <w:keepLines/>
        <w:keepNext/>
        <w:rPr>
          <w:rFonts w:eastAsiaTheme="majorEastAsia"/>
          <w:bCs/>
          <w:sz w:val="28"/>
          <w:szCs w:val="28"/>
        </w:rPr>
        <w:outlineLvl w:val="1"/>
      </w:pPr>
      <w:r>
        <w:rPr>
          <w:rFonts w:eastAsiaTheme="majorEastAsia"/>
          <w:bCs/>
          <w:sz w:val="28"/>
          <w:szCs w:val="28"/>
        </w:rPr>
        <w:t xml:space="preserve">УТВЕРЖДЕН</w:t>
      </w:r>
      <w:r>
        <w:rPr>
          <w:rFonts w:eastAsiaTheme="majorEastAsia"/>
          <w:bCs/>
          <w:sz w:val="28"/>
          <w:szCs w:val="28"/>
        </w:rPr>
        <w:t xml:space="preserve"> </w:t>
      </w:r>
      <w:r>
        <w:rPr>
          <w:rFonts w:eastAsiaTheme="majorEastAsia"/>
          <w:bCs/>
          <w:sz w:val="28"/>
          <w:szCs w:val="28"/>
        </w:rPr>
      </w:r>
      <w:r>
        <w:rPr>
          <w:rFonts w:eastAsiaTheme="majorEastAsia"/>
          <w:bCs/>
          <w:sz w:val="28"/>
          <w:szCs w:val="28"/>
        </w:rPr>
      </w:r>
    </w:p>
    <w:p>
      <w:pPr>
        <w:ind w:left="9639" w:right="-735" w:firstLine="0"/>
        <w:jc w:val="center"/>
        <w:keepLines/>
        <w:keepNext/>
        <w:rPr>
          <w:rFonts w:eastAsiaTheme="majorEastAsia"/>
          <w:bCs/>
          <w:sz w:val="28"/>
          <w:szCs w:val="28"/>
        </w:rPr>
        <w:outlineLvl w:val="1"/>
      </w:pPr>
      <w:r>
        <w:rPr>
          <w:rFonts w:eastAsiaTheme="majorEastAsia"/>
          <w:bCs/>
          <w:sz w:val="28"/>
          <w:szCs w:val="28"/>
        </w:rPr>
        <w:t xml:space="preserve">постановлением Правительства Новосибирской области</w:t>
      </w:r>
      <w:r>
        <w:rPr>
          <w:rFonts w:eastAsiaTheme="majorEastAsia"/>
          <w:bCs/>
          <w:sz w:val="28"/>
          <w:szCs w:val="28"/>
        </w:rPr>
      </w:r>
      <w:r>
        <w:rPr>
          <w:rFonts w:eastAsiaTheme="majorEastAsia"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ан мероприятий («дорожная карта</w:t>
      </w:r>
      <w:r>
        <w:rPr>
          <w:b/>
          <w:sz w:val="28"/>
          <w:szCs w:val="28"/>
        </w:rPr>
        <w:t xml:space="preserve">»)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созданию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системы долговременного ухода за гражданами пожилого возраста и инва</w:t>
      </w:r>
      <w:r>
        <w:rPr>
          <w:b/>
          <w:sz w:val="28"/>
          <w:szCs w:val="28"/>
        </w:rPr>
        <w:t xml:space="preserve">лидами, нуждающимися в уходе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Новосибирской области</w:t>
      </w:r>
      <w:r>
        <w:rPr>
          <w:b/>
          <w:sz w:val="28"/>
          <w:szCs w:val="28"/>
        </w:rPr>
        <w:t xml:space="preserve"> в 2024 году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912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572"/>
        <w:gridCol w:w="2274"/>
        <w:gridCol w:w="2800"/>
        <w:gridCol w:w="1458"/>
        <w:gridCol w:w="1559"/>
        <w:gridCol w:w="1690"/>
        <w:gridCol w:w="1388"/>
      </w:tblGrid>
      <w:tr>
        <w:trPr>
          <w:trHeight w:val="423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мероприятия/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контрольные точки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исполнитель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Ожидаемый результат/вид документа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W w:w="301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реализации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W w:w="307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Финансирование мероприятий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50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начало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окончание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Источни</w:t>
            </w:r>
            <w:bookmarkStart w:id="0" w:name="_GoBack"/>
            <w:r/>
            <w:bookmarkEnd w:id="0"/>
            <w:r>
              <w:rPr>
                <w:b/>
                <w:sz w:val="24"/>
                <w:szCs w:val="24"/>
              </w:rPr>
              <w:t xml:space="preserve">к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финансирования, тыс.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рублей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303"/>
        </w:trPr>
        <w:tc>
          <w:tcPr>
            <w:gridSpan w:val="8"/>
            <w:tcW w:w="155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I. Организационные 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модели системы долговременного ухода, реализуемой в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  <w:t xml:space="preserve"> в 2024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Правительства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31.03</w:t>
            </w:r>
            <w:r>
              <w:rPr>
                <w:sz w:val="24"/>
                <w:szCs w:val="24"/>
                <w:highlight w:val="white"/>
              </w:rPr>
              <w:t xml:space="preserve">.2024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pStyle w:val="914"/>
              <w:ind w:left="0"/>
              <w:jc w:val="center"/>
              <w:widowControl/>
              <w:tabs>
                <w:tab w:val="left" w:pos="386" w:leader="none"/>
                <w:tab w:val="left" w:pos="51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территорий (муниципальных образований) для реализации типовой модели системы долговременного ухода за гражданами пожилого возраста и инвалидами, нуждающимися в уходе </w:t>
            </w:r>
            <w:r>
              <w:rPr>
                <w:sz w:val="24"/>
                <w:szCs w:val="24"/>
              </w:rPr>
              <w:t xml:space="preserve">в 2024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Распоряжение Правительства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31.03.2024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межведомственной рабочей группы по созданию системы долговременного ухода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области, 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(в случае необходимости) </w:t>
            </w:r>
            <w:r>
              <w:rPr>
                <w:sz w:val="24"/>
                <w:szCs w:val="24"/>
              </w:rPr>
              <w:t xml:space="preserve">распоряжения Правительства Новосибирской области</w:t>
            </w:r>
            <w:r>
              <w:rPr>
                <w:sz w:val="24"/>
                <w:szCs w:val="24"/>
              </w:rPr>
              <w:t xml:space="preserve">, протоколы заседаний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Утверждение порядка межведомственного взаимодействия, в том числе информационного взаимодействия участников системы долговременного ухода в рамках создания системы долговременного ухода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области, 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Актуализация (в случае необходимости) приказа </w:t>
            </w:r>
            <w:r>
              <w:rPr>
                <w:sz w:val="24"/>
                <w:szCs w:val="24"/>
              </w:rPr>
              <w:t xml:space="preserve">министерства труда и социального развития Новосибирской области и министерства здравоохранения Новосибирской области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</w:t>
            </w:r>
            <w:r>
              <w:rPr>
                <w:sz w:val="24"/>
                <w:szCs w:val="24"/>
              </w:rPr>
              <w:t xml:space="preserve"> и обеспечение функционирования </w:t>
            </w:r>
            <w:r>
              <w:rPr>
                <w:sz w:val="24"/>
                <w:szCs w:val="24"/>
              </w:rPr>
              <w:t xml:space="preserve">модуля «СДУ» на базе </w:t>
            </w:r>
            <w:r>
              <w:rPr>
                <w:sz w:val="24"/>
                <w:szCs w:val="24"/>
              </w:rPr>
              <w:t xml:space="preserve">государственной информационной системы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 (далее – ТИС СПГ)</w:t>
            </w:r>
            <w:r>
              <w:rPr>
                <w:sz w:val="24"/>
                <w:szCs w:val="24"/>
              </w:rPr>
              <w:t xml:space="preserve"> и единой системы межведомственного электронного взаимодействия (далее – СМЭВ) </w:t>
            </w:r>
            <w:r>
              <w:rPr>
                <w:sz w:val="24"/>
                <w:szCs w:val="24"/>
              </w:rPr>
              <w:t xml:space="preserve">в целях межведомственного взаимодействия</w:t>
            </w:r>
            <w:r>
              <w:rPr>
                <w:sz w:val="24"/>
                <w:szCs w:val="24"/>
              </w:rPr>
              <w:t xml:space="preserve"> участников системы долговременного ухода, в том числе информационного обмена сведениями о гражданах, нуждающихся в уходе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области, министерство здравоохранения Новосибирской области, министерство цифрового развития и связи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 в эксплуатацию </w:t>
            </w:r>
            <w:r>
              <w:rPr>
                <w:sz w:val="24"/>
                <w:szCs w:val="24"/>
              </w:rPr>
              <w:t xml:space="preserve">и функционирует модуль </w:t>
            </w:r>
            <w:r>
              <w:rPr>
                <w:sz w:val="24"/>
                <w:szCs w:val="24"/>
              </w:rPr>
              <w:t xml:space="preserve">«СДУ» на базе </w:t>
            </w:r>
            <w:r>
              <w:rPr>
                <w:sz w:val="24"/>
                <w:szCs w:val="24"/>
              </w:rPr>
              <w:t xml:space="preserve">ТИС</w:t>
              <w:br/>
              <w:t xml:space="preserve">СПГ</w:t>
            </w:r>
            <w:r>
              <w:rPr>
                <w:sz w:val="24"/>
                <w:szCs w:val="24"/>
              </w:rPr>
              <w:t xml:space="preserve"> и СМЭВ, обеспечивающий получение, хранение, передачу и обмен сведениями о гражданах, нуждающихся в уходе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2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33" w:leader="none"/>
                <w:tab w:val="left" w:pos="635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Утверждение (актуализация) ключевых показателей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эффективности пилотного проекта по созданию системы долговременного ухода за гр</w:t>
            </w:r>
            <w:r>
              <w:rPr>
                <w:color w:val="000000" w:themeColor="text1"/>
                <w:sz w:val="24"/>
                <w:szCs w:val="24"/>
              </w:rPr>
              <w:t xml:space="preserve">ажданами пожилого возраста и инвалидами, нуждающимися в уходе, реализуемого в Новосибирской области и в рамках федерального проекта «Старшее поколение» национального проекта «Демография», отражающих результаты внедрения системы долговременного ухода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0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Актуализация </w:t>
            </w:r>
            <w:r>
              <w:rPr>
                <w:sz w:val="24"/>
                <w:szCs w:val="24"/>
              </w:rPr>
              <w:t xml:space="preserve">приказа </w:t>
            </w:r>
            <w:r>
              <w:rPr>
                <w:sz w:val="24"/>
                <w:szCs w:val="24"/>
              </w:rPr>
              <w:t xml:space="preserve">министерства труда и социального развития Новосибирской области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color w:val="000000" w:themeColor="text1"/>
                <w:sz w:val="24"/>
                <w:szCs w:val="24"/>
              </w:rPr>
              <w:t xml:space="preserve">1.01</w:t>
            </w:r>
            <w:r>
              <w:rPr>
                <w:color w:val="000000" w:themeColor="text1"/>
                <w:sz w:val="24"/>
                <w:szCs w:val="24"/>
              </w:rPr>
              <w:t xml:space="preserve">.202</w:t>
            </w: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</w:t>
            </w:r>
            <w:r>
              <w:rPr>
                <w:color w:val="000000" w:themeColor="text1"/>
                <w:sz w:val="24"/>
                <w:szCs w:val="24"/>
              </w:rPr>
              <w:t xml:space="preserve">2.202</w:t>
            </w:r>
            <w:r>
              <w:rPr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Проведение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оценки результативности и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эффективности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создания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системы долговременного ухода в Новосибирской области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за 2023 год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области, министерство здравоохранения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01.01.2024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31.03.2024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8"/>
            <w:tcW w:w="155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II. Организация работы регионального, территориальных координационных центров, поставщиков социальных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регионального координационного центра (далее – РКЦ) на базе государственного автономного учреждения социального обслуживания Новосибирской области «Новосибирский областной геронтологический центр» (далее – геронтологический центр)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РКЦ функционирует на базе </w:t>
            </w:r>
            <w:r>
              <w:rPr>
                <w:sz w:val="24"/>
                <w:szCs w:val="24"/>
              </w:rPr>
              <w:t xml:space="preserve">геронтологического центра,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630047,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Новосибирская область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, г.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Новосибирск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, ул. Северная, д.3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специалистов по социальной работе в РКЦ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штатном расписании</w:t>
            </w:r>
            <w:r>
              <w:rPr>
                <w:sz w:val="24"/>
                <w:szCs w:val="24"/>
              </w:rPr>
              <w:t xml:space="preserve"> РКЦ, являющегося структурным подразделением геронтологического центра, 2 штатные единицы специалистов по социальной работе и 1 штатная единица руководителя РКЦ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территориальных координационных центров (далее – ТКЦ) на базе администраций муниципальных образований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Функционируют 41 ТКЦ </w:t>
            </w:r>
            <w:r>
              <w:rPr>
                <w:sz w:val="24"/>
                <w:szCs w:val="24"/>
              </w:rPr>
              <w:t xml:space="preserve">на базе администраций муниципальных образований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специалистов по социальной работе (экспертов по оценке нуждаемости) в ТКЦ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 составе ТКЦ 133 специалиста по социальной работе (экспертов по оценке нуждаемости), </w:t>
            </w:r>
            <w:r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перечень организаций, на базе которых организованы ТКЦ </w:t>
            </w:r>
            <w:r>
              <w:rPr>
                <w:sz w:val="24"/>
                <w:szCs w:val="24"/>
              </w:rPr>
              <w:t xml:space="preserve">(приложение № 1 к </w:t>
            </w:r>
            <w:r>
              <w:rPr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b w:val="0"/>
                <w:bCs w:val="0"/>
                <w:sz w:val="24"/>
                <w:szCs w:val="24"/>
              </w:rPr>
              <w:t xml:space="preserve">л</w:t>
            </w:r>
            <w:r>
              <w:rPr>
                <w:b w:val="0"/>
                <w:bCs w:val="0"/>
                <w:sz w:val="24"/>
                <w:szCs w:val="24"/>
              </w:rPr>
              <w:t xml:space="preserve">ану мероприятий («дорожной карте</w:t>
            </w:r>
            <w:r>
              <w:rPr>
                <w:b w:val="0"/>
                <w:bCs w:val="0"/>
                <w:sz w:val="24"/>
                <w:szCs w:val="24"/>
              </w:rPr>
              <w:t xml:space="preserve">»)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both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по </w:t>
            </w:r>
            <w:r>
              <w:rPr>
                <w:b w:val="0"/>
                <w:bCs w:val="0"/>
                <w:sz w:val="24"/>
                <w:szCs w:val="24"/>
              </w:rPr>
              <w:t xml:space="preserve">созданию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системы долговременного ухода за гражданами пожилого возраста и инва</w:t>
            </w:r>
            <w:r>
              <w:rPr>
                <w:b w:val="0"/>
                <w:bCs w:val="0"/>
                <w:sz w:val="24"/>
                <w:szCs w:val="24"/>
              </w:rPr>
              <w:t xml:space="preserve">лидами, нуждающимися в уходе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в Новосибирской области</w:t>
            </w:r>
            <w:r>
              <w:rPr>
                <w:b w:val="0"/>
                <w:bCs w:val="0"/>
                <w:sz w:val="24"/>
                <w:szCs w:val="24"/>
              </w:rPr>
              <w:t xml:space="preserve"> в 2024 году (далее – План мероприятий «дорожная карта»)</w:t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пунктов проката технических средств реабилитации на базе организаций социального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Перечень</w:t>
            </w:r>
            <w:r>
              <w:rPr>
                <w:color w:val="000000"/>
                <w:sz w:val="24"/>
                <w:szCs w:val="24"/>
              </w:rPr>
              <w:t xml:space="preserve"> пунктов проката техниче</w:t>
            </w:r>
            <w:r>
              <w:rPr>
                <w:color w:val="000000"/>
                <w:sz w:val="24"/>
                <w:szCs w:val="24"/>
              </w:rPr>
              <w:t xml:space="preserve">ских средств реабилитации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базе поставщиков социальных услуг</w:t>
            </w:r>
            <w:r>
              <w:rPr>
                <w:color w:val="000000"/>
                <w:sz w:val="24"/>
                <w:szCs w:val="24"/>
              </w:rPr>
              <w:t xml:space="preserve"> Новосибирской области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(приложение № 2 к </w:t>
            </w:r>
            <w:r>
              <w:rPr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b w:val="0"/>
                <w:bCs w:val="0"/>
                <w:sz w:val="24"/>
                <w:szCs w:val="24"/>
              </w:rPr>
              <w:t xml:space="preserve">л</w:t>
            </w:r>
            <w:r>
              <w:rPr>
                <w:b w:val="0"/>
                <w:bCs w:val="0"/>
                <w:sz w:val="24"/>
                <w:szCs w:val="24"/>
              </w:rPr>
              <w:t xml:space="preserve">ану мероприятий («дорожной карте</w:t>
            </w:r>
            <w:r>
              <w:rPr>
                <w:b w:val="0"/>
                <w:bCs w:val="0"/>
                <w:sz w:val="24"/>
                <w:szCs w:val="24"/>
              </w:rPr>
              <w:t xml:space="preserve">»)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Функционирование «школ ухода» на базе организаций социального обслуживания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</w:t>
            </w:r>
            <w:r>
              <w:rPr>
                <w:bCs/>
                <w:color w:val="000000"/>
                <w:sz w:val="24"/>
                <w:szCs w:val="24"/>
              </w:rPr>
              <w:t xml:space="preserve">школ ухода на базе учреждений социального обслуживания Новосибирской области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(приложение № 3 к </w:t>
            </w:r>
            <w:r>
              <w:rPr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b w:val="0"/>
                <w:bCs w:val="0"/>
                <w:sz w:val="24"/>
                <w:szCs w:val="24"/>
              </w:rPr>
              <w:t xml:space="preserve">л</w:t>
            </w:r>
            <w:r>
              <w:rPr>
                <w:b w:val="0"/>
                <w:bCs w:val="0"/>
                <w:sz w:val="24"/>
                <w:szCs w:val="24"/>
              </w:rPr>
              <w:t xml:space="preserve">ану мероприятий («дорожной карте</w:t>
            </w:r>
            <w:r>
              <w:rPr>
                <w:b w:val="0"/>
                <w:bCs w:val="0"/>
                <w:sz w:val="24"/>
                <w:szCs w:val="24"/>
              </w:rPr>
              <w:t xml:space="preserve">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8"/>
            <w:tcW w:w="155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III. Мероприятия по подготовке и дополнительному профессиональному</w:t>
            </w:r>
            <w:r>
              <w:rPr>
                <w:b/>
                <w:sz w:val="24"/>
                <w:szCs w:val="24"/>
              </w:rPr>
              <w:br/>
              <w:t xml:space="preserve">обучению сотрудников организаций социального обслуживанию в рамках пилотного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потребности в экспертах по оценке нуждаемости и специалистов по социальной работе, а также поиск кандидатов на данные должности (постоянно)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Подобраны эксперты по оценке нуждаемости и специалисты по социальной работе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потребности в помощниках по уходу, а также поиск кандидатов на данные должности (постоянно)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Подобраны помощники по уходу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обучения экспертов по оценке нуждаемости по программе «Экспертная деятельность по определению индивидуальной потребности граждан в социальном обслуживании, в том числе в социальных услугах по уходу»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Благотворительный фонд «Старость в радость»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Организовано обучение не менее 50 работников регионального координационного центра и территориальных координационных центров по </w:t>
            </w:r>
            <w:r>
              <w:rPr>
                <w:sz w:val="24"/>
                <w:szCs w:val="24"/>
              </w:rPr>
              <w:t xml:space="preserve">профессиональной программе</w:t>
            </w:r>
            <w:r>
              <w:rPr>
                <w:sz w:val="24"/>
                <w:szCs w:val="24"/>
              </w:rPr>
              <w:t xml:space="preserve"> обучения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обучения работников организаций социального обслуживания, участвующих в организации и предоставлении социальных услуг по уходу (помощники по уходу) по профессиональной программе «Помощник по уходу»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Организовано обучение не менее 150 помощников по уходу поставщиков социальных услуг по профессиональной программе обучения по должности «Помощник по уходу», в том числе в</w:t>
            </w:r>
            <w:r>
              <w:rPr>
                <w:sz w:val="24"/>
                <w:szCs w:val="24"/>
              </w:rPr>
              <w:br/>
              <w:t xml:space="preserve">2023 году: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– 2 человека;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– 0 человек;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– 5 человек;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– 5 человек;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– 12 человек;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– 7 человек;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– 6 человек;</w:t>
              <w:br/>
              <w:t xml:space="preserve">август – 7 человек;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– 23 </w:t>
            </w:r>
            <w:r>
              <w:rPr>
                <w:sz w:val="24"/>
                <w:szCs w:val="24"/>
              </w:rPr>
              <w:t xml:space="preserve">человека;</w:t>
            </w:r>
            <w:r>
              <w:rPr>
                <w:sz w:val="24"/>
                <w:szCs w:val="24"/>
              </w:rPr>
              <w:br/>
              <w:t xml:space="preserve">октябрь</w:t>
            </w:r>
            <w:r>
              <w:rPr>
                <w:sz w:val="24"/>
                <w:szCs w:val="24"/>
              </w:rPr>
              <w:t xml:space="preserve"> – 13 человек;</w:t>
            </w:r>
            <w:r>
              <w:rPr>
                <w:sz w:val="24"/>
                <w:szCs w:val="24"/>
              </w:rPr>
              <w:br/>
              <w:t xml:space="preserve">ноябрь – 21 человек;</w:t>
            </w:r>
            <w:r>
              <w:rPr>
                <w:sz w:val="24"/>
                <w:szCs w:val="24"/>
              </w:rPr>
              <w:br/>
              <w:t xml:space="preserve">декабрь – 7 человек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собственные средства организаций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gridSpan w:val="8"/>
            <w:tcW w:w="1559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IV. Организация предоставления социальных услуг по уходу, включенных в социальный пакет долговременного ухода, поставщиками социальных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функционирования организаций социального обслуживания – государственных поставщиков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Перечень </w:t>
            </w:r>
            <w:r>
              <w:rPr>
                <w:color w:val="000000"/>
                <w:sz w:val="24"/>
                <w:szCs w:val="24"/>
              </w:rPr>
              <w:t xml:space="preserve">государственных и муниципальн</w:t>
            </w:r>
            <w:r>
              <w:rPr>
                <w:color w:val="000000"/>
                <w:sz w:val="24"/>
                <w:szCs w:val="24"/>
              </w:rPr>
              <w:t xml:space="preserve">ых поставщиков социальных услуг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уходу, включенных в социальный пакет долговременного </w:t>
            </w:r>
            <w:r>
              <w:rPr>
                <w:color w:val="000000"/>
                <w:sz w:val="24"/>
                <w:szCs w:val="24"/>
              </w:rPr>
              <w:t xml:space="preserve">ухода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(приложение № 4 к </w:t>
            </w:r>
            <w:r>
              <w:rPr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b w:val="0"/>
                <w:bCs w:val="0"/>
                <w:sz w:val="24"/>
                <w:szCs w:val="24"/>
              </w:rPr>
              <w:t xml:space="preserve">л</w:t>
            </w:r>
            <w:r>
              <w:rPr>
                <w:b w:val="0"/>
                <w:bCs w:val="0"/>
                <w:sz w:val="24"/>
                <w:szCs w:val="24"/>
              </w:rPr>
              <w:t xml:space="preserve">ану мероприятий («дорожной карте</w:t>
            </w:r>
            <w:r>
              <w:rPr>
                <w:b w:val="0"/>
                <w:bCs w:val="0"/>
                <w:sz w:val="24"/>
                <w:szCs w:val="24"/>
              </w:rPr>
              <w:t xml:space="preserve">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функционирования организаций социального обслуживания – негосударственных поставщиков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и ведение реестра организаций социального обслуживания </w:t>
            </w:r>
            <w:r>
              <w:rPr>
                <w:sz w:val="24"/>
                <w:szCs w:val="24"/>
              </w:rPr>
              <w:t xml:space="preserve">– негосударственных поставщиков социальных услуг</w:t>
            </w:r>
            <w:r>
              <w:rPr>
                <w:sz w:val="24"/>
                <w:szCs w:val="24"/>
              </w:rPr>
              <w:t xml:space="preserve"> в соответствии с постановлением Правительства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организаторов ухода в организациях социального обслуживания – поставщиках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Перечень </w:t>
            </w:r>
            <w:r>
              <w:rPr>
                <w:color w:val="000000"/>
                <w:sz w:val="24"/>
                <w:szCs w:val="24"/>
              </w:rPr>
              <w:t xml:space="preserve">государственных и муниципальн</w:t>
            </w:r>
            <w:r>
              <w:rPr>
                <w:color w:val="000000"/>
                <w:sz w:val="24"/>
                <w:szCs w:val="24"/>
              </w:rPr>
              <w:t xml:space="preserve">ых поставщиков социальных услуг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уходу, включенных в социальный пакет долговременного ухода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(приложение № 4 к </w:t>
            </w:r>
            <w:r>
              <w:rPr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b w:val="0"/>
                <w:bCs w:val="0"/>
                <w:sz w:val="24"/>
                <w:szCs w:val="24"/>
              </w:rPr>
              <w:t xml:space="preserve">л</w:t>
            </w:r>
            <w:r>
              <w:rPr>
                <w:b w:val="0"/>
                <w:bCs w:val="0"/>
                <w:sz w:val="24"/>
                <w:szCs w:val="24"/>
              </w:rPr>
              <w:t xml:space="preserve">ану мероприятий («дорожной карте</w:t>
            </w:r>
            <w:r>
              <w:rPr>
                <w:b w:val="0"/>
                <w:bCs w:val="0"/>
                <w:sz w:val="24"/>
                <w:szCs w:val="24"/>
              </w:rPr>
              <w:t xml:space="preserve">») с указанием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количества штатных единиц организаторов ухода (всего и с разбивкой по организациям)</w:t>
            </w:r>
            <w:r/>
            <w:r/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финансирования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помощников по уходу в организациях социального обслуживания – поставщиках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Трудоустроено в организации социального обслуживания не менее 400 помощников по уходу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поставщиками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 702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567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219 997,50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211 195,50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8 802,00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государственными поставщиками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 692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557 человек – 3 уровня нуждаемости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218208,30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209477,40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8730,90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негосударственными поставщиками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 10 человек,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человек – 3 уровня нуждаемости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1 789,20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1 718,10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71,10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январе 2024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692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557 человек – 3 уровня нуждаемости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24 245,40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23 275,30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246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970,10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феврале 2024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692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557 человек – 3 уровня нуждаемости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24 245,50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23 275,40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970,10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марте 2024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692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557 человек – 3 уровня нуждаемости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01.03.2024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31.03.2024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24 245,50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23 275,40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838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970,10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апреле 2024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692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557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01.04.2024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30.04.2024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24 245,50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23 275,40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970,10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мае 2024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702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567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01.05.2024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31.05.2024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24 603,10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23 618,80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984,30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июне 2024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702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567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01.06.2024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24 603,10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23 618,80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984,30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июле 2024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702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567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01.07.2024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31.07.2024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24 603,10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23 618,80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984,30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августе 2024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702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567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01.08.2024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31.08.2024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24 603,10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23 618,80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984,30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сентябре 2024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702 человека,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567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01.09.2024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30.09.2024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24 603,20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23 618,80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октябре 2024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</w:t>
              <w:br/>
              <w:t xml:space="preserve">0 человек,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01.10.2024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31.10.2024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ноябре 2024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0 человек,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30.11.2024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декабре 2024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граждан, получающих социальные услуги по уходу, входящих в социальный пакет долговременного ухода бесплатно в форме социального обслуживания на дому, </w:t>
            </w:r>
            <w:r>
              <w:rPr>
                <w:sz w:val="24"/>
                <w:szCs w:val="24"/>
              </w:rPr>
              <w:t xml:space="preserve">0 человек, из них: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- 1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– 2 уровня нуждаемости;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человек – 3 уровня нуждаемости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7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0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W w:w="12515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219 997,50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W w:w="1251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211 195,50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W w:w="1251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8 802,00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first" r:id="rId10"/>
      <w:footnotePr/>
      <w:endnotePr>
        <w:numFmt w:val="decimal"/>
      </w:endnotePr>
      <w:type w:val="nextPage"/>
      <w:pgSz w:w="16840" w:h="11907" w:orient="landscape"/>
      <w:pgMar w:top="851" w:right="1134" w:bottom="1134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imesNewRomanPS-BoldMT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  <w:p>
    <w:pPr>
      <w:pStyle w:val="9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51140631"/>
      <w:docPartObj>
        <w:docPartGallery w:val="Page Numbers (Top of Page)"/>
        <w:docPartUnique w:val="true"/>
      </w:docPartObj>
      <w:rPr/>
    </w:sdtPr>
    <w:sdtContent>
      <w:p>
        <w:pPr>
          <w:pStyle w:val="901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14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08" w:leader="none"/>
        </w:tabs>
      </w:pPr>
      <w:rPr>
        <w:rFonts w:ascii="Times New Roman" w:hAnsi="Times New Roman" w:cs="Times New Roman"/>
        <w:i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65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4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12"/>
  </w:num>
  <w:num w:numId="11">
    <w:abstractNumId w:val="8"/>
  </w:num>
  <w:num w:numId="12">
    <w:abstractNumId w:val="9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basedOn w:val="898"/>
    <w:link w:val="894"/>
    <w:uiPriority w:val="9"/>
    <w:rPr>
      <w:rFonts w:ascii="Arial" w:hAnsi="Arial" w:eastAsia="Arial" w:cs="Arial"/>
      <w:sz w:val="40"/>
      <w:szCs w:val="40"/>
    </w:rPr>
  </w:style>
  <w:style w:type="character" w:styleId="727">
    <w:name w:val="Heading 2 Char"/>
    <w:basedOn w:val="898"/>
    <w:link w:val="895"/>
    <w:uiPriority w:val="9"/>
    <w:rPr>
      <w:rFonts w:ascii="Arial" w:hAnsi="Arial" w:eastAsia="Arial" w:cs="Arial"/>
      <w:sz w:val="34"/>
    </w:rPr>
  </w:style>
  <w:style w:type="character" w:styleId="728">
    <w:name w:val="Heading 3 Char"/>
    <w:basedOn w:val="898"/>
    <w:link w:val="896"/>
    <w:uiPriority w:val="9"/>
    <w:rPr>
      <w:rFonts w:ascii="Arial" w:hAnsi="Arial" w:eastAsia="Arial" w:cs="Arial"/>
      <w:sz w:val="30"/>
      <w:szCs w:val="30"/>
    </w:rPr>
  </w:style>
  <w:style w:type="character" w:styleId="729">
    <w:name w:val="Heading 4 Char"/>
    <w:basedOn w:val="898"/>
    <w:link w:val="897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3"/>
    <w:next w:val="893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8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3"/>
    <w:next w:val="893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8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3"/>
    <w:next w:val="893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8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3"/>
    <w:next w:val="893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3"/>
    <w:next w:val="893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8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No Spacing"/>
    <w:uiPriority w:val="1"/>
    <w:qFormat/>
    <w:pPr>
      <w:spacing w:before="0" w:after="0" w:line="240" w:lineRule="auto"/>
    </w:pPr>
  </w:style>
  <w:style w:type="paragraph" w:styleId="741">
    <w:name w:val="Title"/>
    <w:basedOn w:val="893"/>
    <w:next w:val="893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>
    <w:name w:val="Title Char"/>
    <w:basedOn w:val="898"/>
    <w:link w:val="741"/>
    <w:uiPriority w:val="10"/>
    <w:rPr>
      <w:sz w:val="48"/>
      <w:szCs w:val="48"/>
    </w:rPr>
  </w:style>
  <w:style w:type="paragraph" w:styleId="743">
    <w:name w:val="Subtitle"/>
    <w:basedOn w:val="893"/>
    <w:next w:val="893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basedOn w:val="898"/>
    <w:link w:val="743"/>
    <w:uiPriority w:val="11"/>
    <w:rPr>
      <w:sz w:val="24"/>
      <w:szCs w:val="24"/>
    </w:rPr>
  </w:style>
  <w:style w:type="paragraph" w:styleId="745">
    <w:name w:val="Quote"/>
    <w:basedOn w:val="893"/>
    <w:next w:val="893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3"/>
    <w:next w:val="893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character" w:styleId="749">
    <w:name w:val="Header Char"/>
    <w:basedOn w:val="898"/>
    <w:link w:val="901"/>
    <w:uiPriority w:val="99"/>
  </w:style>
  <w:style w:type="character" w:styleId="750">
    <w:name w:val="Footer Char"/>
    <w:basedOn w:val="898"/>
    <w:link w:val="902"/>
    <w:uiPriority w:val="99"/>
  </w:style>
  <w:style w:type="character" w:styleId="751">
    <w:name w:val="Caption Char"/>
    <w:basedOn w:val="903"/>
    <w:link w:val="902"/>
    <w:uiPriority w:val="99"/>
  </w:style>
  <w:style w:type="table" w:styleId="752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character" w:styleId="878">
    <w:name w:val="Footnote Text Char"/>
    <w:link w:val="915"/>
    <w:uiPriority w:val="99"/>
    <w:rPr>
      <w:sz w:val="18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898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  <w:pPr>
      <w:widowControl w:val="off"/>
    </w:pPr>
  </w:style>
  <w:style w:type="paragraph" w:styleId="894">
    <w:name w:val="Heading 1"/>
    <w:basedOn w:val="893"/>
    <w:next w:val="893"/>
    <w:qFormat/>
    <w:pPr>
      <w:jc w:val="both"/>
      <w:keepNext/>
      <w:widowControl/>
      <w:outlineLvl w:val="0"/>
    </w:pPr>
    <w:rPr>
      <w:sz w:val="24"/>
    </w:rPr>
  </w:style>
  <w:style w:type="paragraph" w:styleId="895">
    <w:name w:val="Heading 2"/>
    <w:basedOn w:val="893"/>
    <w:next w:val="893"/>
    <w:link w:val="904"/>
    <w:qFormat/>
    <w:pPr>
      <w:keepNext/>
      <w:widowControl/>
      <w:outlineLvl w:val="1"/>
    </w:pPr>
    <w:rPr>
      <w:sz w:val="24"/>
    </w:rPr>
  </w:style>
  <w:style w:type="paragraph" w:styleId="896">
    <w:name w:val="Heading 3"/>
    <w:basedOn w:val="893"/>
    <w:next w:val="893"/>
    <w:qFormat/>
    <w:pPr>
      <w:jc w:val="center"/>
      <w:keepNext/>
      <w:widowControl/>
      <w:outlineLvl w:val="2"/>
    </w:pPr>
    <w:rPr>
      <w:b/>
      <w:sz w:val="40"/>
    </w:rPr>
  </w:style>
  <w:style w:type="paragraph" w:styleId="897">
    <w:name w:val="Heading 4"/>
    <w:basedOn w:val="893"/>
    <w:next w:val="893"/>
    <w:qFormat/>
    <w:pPr>
      <w:jc w:val="center"/>
      <w:keepNext/>
      <w:outlineLvl w:val="3"/>
    </w:pPr>
    <w:rPr>
      <w:sz w:val="28"/>
    </w:rPr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paragraph" w:styleId="901">
    <w:name w:val="Header"/>
    <w:basedOn w:val="893"/>
    <w:link w:val="913"/>
    <w:uiPriority w:val="99"/>
    <w:pPr>
      <w:tabs>
        <w:tab w:val="center" w:pos="4153" w:leader="none"/>
        <w:tab w:val="right" w:pos="8306" w:leader="none"/>
      </w:tabs>
    </w:pPr>
  </w:style>
  <w:style w:type="paragraph" w:styleId="902">
    <w:name w:val="Footer"/>
    <w:basedOn w:val="893"/>
    <w:pPr>
      <w:tabs>
        <w:tab w:val="center" w:pos="4153" w:leader="none"/>
        <w:tab w:val="right" w:pos="8306" w:leader="none"/>
      </w:tabs>
    </w:pPr>
  </w:style>
  <w:style w:type="paragraph" w:styleId="903">
    <w:name w:val="Caption"/>
    <w:basedOn w:val="893"/>
    <w:next w:val="893"/>
    <w:qFormat/>
    <w:pPr>
      <w:jc w:val="center"/>
      <w:widowControl/>
    </w:pPr>
    <w:rPr>
      <w:b/>
      <w:sz w:val="40"/>
    </w:rPr>
  </w:style>
  <w:style w:type="character" w:styleId="904" w:customStyle="1">
    <w:name w:val="Заголовок 2 Знак"/>
    <w:link w:val="895"/>
    <w:rPr>
      <w:sz w:val="24"/>
    </w:rPr>
  </w:style>
  <w:style w:type="paragraph" w:styleId="905">
    <w:name w:val="Balloon Text"/>
    <w:basedOn w:val="893"/>
    <w:link w:val="906"/>
    <w:rPr>
      <w:rFonts w:ascii="Tahoma" w:hAnsi="Tahoma" w:cs="Tahoma"/>
      <w:sz w:val="16"/>
      <w:szCs w:val="16"/>
    </w:rPr>
  </w:style>
  <w:style w:type="character" w:styleId="906" w:customStyle="1">
    <w:name w:val="Текст выноски Знак"/>
    <w:link w:val="905"/>
    <w:rPr>
      <w:rFonts w:ascii="Tahoma" w:hAnsi="Tahoma" w:cs="Tahoma"/>
      <w:sz w:val="16"/>
      <w:szCs w:val="16"/>
    </w:rPr>
  </w:style>
  <w:style w:type="paragraph" w:styleId="907" w:customStyle="1">
    <w:name w:val="ConsPlusTitle"/>
    <w:pPr>
      <w:widowControl w:val="off"/>
    </w:pPr>
    <w:rPr>
      <w:b/>
      <w:bCs/>
      <w:sz w:val="28"/>
      <w:szCs w:val="28"/>
    </w:rPr>
  </w:style>
  <w:style w:type="paragraph" w:styleId="908" w:customStyle="1">
    <w:name w:val="ConsPlusNormal"/>
    <w:pPr>
      <w:widowControl w:val="off"/>
    </w:pPr>
    <w:rPr>
      <w:sz w:val="28"/>
    </w:rPr>
  </w:style>
  <w:style w:type="paragraph" w:styleId="909">
    <w:name w:val="Body Text Indent 3"/>
    <w:basedOn w:val="893"/>
    <w:link w:val="910"/>
    <w:uiPriority w:val="99"/>
    <w:pPr>
      <w:ind w:left="283"/>
      <w:spacing w:after="120"/>
      <w:widowControl/>
    </w:pPr>
    <w:rPr>
      <w:sz w:val="16"/>
      <w:szCs w:val="16"/>
    </w:rPr>
  </w:style>
  <w:style w:type="character" w:styleId="910" w:customStyle="1">
    <w:name w:val="Основной текст с отступом 3 Знак"/>
    <w:basedOn w:val="898"/>
    <w:link w:val="909"/>
    <w:uiPriority w:val="99"/>
    <w:rPr>
      <w:sz w:val="16"/>
      <w:szCs w:val="16"/>
    </w:rPr>
  </w:style>
  <w:style w:type="paragraph" w:styleId="911">
    <w:name w:val="Normal (Web)"/>
    <w:basedOn w:val="893"/>
    <w:uiPriority w:val="99"/>
    <w:unhideWhenUsed/>
    <w:pPr>
      <w:spacing w:before="100" w:beforeAutospacing="1" w:after="100" w:afterAutospacing="1"/>
      <w:widowControl/>
    </w:pPr>
    <w:rPr>
      <w:sz w:val="24"/>
      <w:szCs w:val="24"/>
    </w:rPr>
  </w:style>
  <w:style w:type="table" w:styleId="912">
    <w:name w:val="Table Grid"/>
    <w:basedOn w:val="899"/>
    <w:uiPriority w:val="59"/>
    <w:rPr>
      <w:rFonts w:eastAsiaTheme="minorHAnsi"/>
      <w:sz w:val="28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3" w:customStyle="1">
    <w:name w:val="Верхний колонтитул Знак"/>
    <w:basedOn w:val="898"/>
    <w:link w:val="901"/>
    <w:uiPriority w:val="99"/>
  </w:style>
  <w:style w:type="paragraph" w:styleId="914">
    <w:name w:val="List Paragraph"/>
    <w:basedOn w:val="893"/>
    <w:uiPriority w:val="34"/>
    <w:qFormat/>
    <w:pPr>
      <w:contextualSpacing/>
      <w:ind w:left="720"/>
    </w:pPr>
  </w:style>
  <w:style w:type="paragraph" w:styleId="915">
    <w:name w:val="footnote text"/>
    <w:basedOn w:val="893"/>
    <w:link w:val="916"/>
  </w:style>
  <w:style w:type="character" w:styleId="916" w:customStyle="1">
    <w:name w:val="Текст сноски Знак"/>
    <w:basedOn w:val="898"/>
    <w:link w:val="915"/>
  </w:style>
  <w:style w:type="character" w:styleId="917">
    <w:name w:val="footnote reference"/>
    <w:basedOn w:val="898"/>
    <w:rPr>
      <w:vertAlign w:val="superscript"/>
    </w:rPr>
  </w:style>
  <w:style w:type="character" w:styleId="918">
    <w:name w:val="annotation reference"/>
    <w:basedOn w:val="898"/>
    <w:rPr>
      <w:sz w:val="16"/>
      <w:szCs w:val="16"/>
    </w:rPr>
  </w:style>
  <w:style w:type="paragraph" w:styleId="919">
    <w:name w:val="annotation text"/>
    <w:basedOn w:val="893"/>
    <w:link w:val="920"/>
  </w:style>
  <w:style w:type="character" w:styleId="920" w:customStyle="1">
    <w:name w:val="Текст примечания Знак"/>
    <w:basedOn w:val="898"/>
    <w:link w:val="919"/>
  </w:style>
  <w:style w:type="paragraph" w:styleId="921">
    <w:name w:val="annotation subject"/>
    <w:basedOn w:val="919"/>
    <w:next w:val="919"/>
    <w:link w:val="922"/>
    <w:rPr>
      <w:b/>
      <w:bCs/>
    </w:rPr>
  </w:style>
  <w:style w:type="character" w:styleId="922" w:customStyle="1">
    <w:name w:val="Тема примечания Знак"/>
    <w:basedOn w:val="920"/>
    <w:link w:val="921"/>
    <w:rPr>
      <w:b/>
      <w:bCs/>
    </w:rPr>
  </w:style>
  <w:style w:type="character" w:styleId="923" w:customStyle="1">
    <w:name w:val="Другое_"/>
    <w:link w:val="924"/>
    <w:uiPriority w:val="99"/>
    <w:rPr>
      <w:shd w:val="clear" w:color="auto" w:fill="ffffff"/>
    </w:rPr>
  </w:style>
  <w:style w:type="paragraph" w:styleId="924" w:customStyle="1">
    <w:name w:val="Другое"/>
    <w:basedOn w:val="893"/>
    <w:link w:val="923"/>
    <w:uiPriority w:val="99"/>
    <w:pPr>
      <w:spacing w:line="264" w:lineRule="auto"/>
      <w:shd w:val="clear" w:color="auto" w:fill="ffffff"/>
    </w:pPr>
    <w:rPr>
      <w:shd w:val="clear" w:color="auto" w:fill="ffffff"/>
    </w:rPr>
  </w:style>
  <w:style w:type="paragraph" w:styleId="925" w:customStyle="1">
    <w:name w:val="ConsPlusNonformat"/>
    <w:rPr>
      <w:rFonts w:ascii="Courier New" w:hAnsi="Courier New" w:cs="Courier New"/>
    </w:rPr>
  </w:style>
  <w:style w:type="character" w:styleId="926" w:customStyle="1">
    <w:name w:val="fontstyle01"/>
    <w:basedOn w:val="898"/>
    <w:rPr>
      <w:rFonts w:hint="default" w:ascii="TimesNewRomanPS-BoldMT" w:hAnsi="TimesNewRomanPS-BoldMT"/>
      <w:b/>
      <w:bCs/>
      <w:i w:val="0"/>
      <w:iCs w:val="0"/>
      <w:color w:val="1a1a1a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889C2-A359-474B-97A3-58FB094E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Elcom Ltd</Company>
  <DocSecurity>0</DocSecurity>
  <HyperlinksChanged>false</HyperlinksChanged>
  <LinksUpToDate>false</LinksUpToDate>
  <ScaleCrop>false</ScaleCrop>
  <SharedDoc>false</SharedDoc>
  <Template>Распоряжение Правительства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revision>6</cp:revision>
  <dcterms:created xsi:type="dcterms:W3CDTF">2023-11-20T12:10:00Z</dcterms:created>
  <dcterms:modified xsi:type="dcterms:W3CDTF">2023-12-13T03:33:49Z</dcterms:modified>
</cp:coreProperties>
</file>