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41"/>
        <w:jc w:val="center"/>
      </w:pPr>
      <w:r/>
      <w:r/>
    </w:p>
    <w:p>
      <w:pPr>
        <w:pStyle w:val="839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04.04.2022 № 149-п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Минпромторга России от 18.04.2024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1711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ипового положения о художественно-экспертном совете по народным художественным промыслам»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от 04.04.2022 № 149-п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художественно-экспертном совете по народным художественным промыслам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Положение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художественно-экспертно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сове</w:t>
      </w:r>
      <w:r>
        <w:rPr>
          <w:rFonts w:ascii="Times New Roman" w:hAnsi="Times New Roman" w:cs="Times New Roman"/>
          <w:sz w:val="28"/>
          <w:szCs w:val="28"/>
        </w:rPr>
        <w:t xml:space="preserve">те</w:t>
      </w:r>
      <w:r>
        <w:rPr>
          <w:rFonts w:ascii="Times New Roman" w:hAnsi="Times New Roman" w:cs="Times New Roman"/>
          <w:sz w:val="28"/>
          <w:szCs w:val="28"/>
        </w:rPr>
        <w:t xml:space="preserve"> по народным художественным промыслам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1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остав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художественно-экспертного совета по народным художественным промыслам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firstLine="540"/>
        <w:jc w:val="both"/>
      </w:pPr>
      <w:r/>
      <w:r/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3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7">
    <w:name w:val="Balloon Text"/>
    <w:basedOn w:val="83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36"/>
    <w:link w:val="847"/>
    <w:uiPriority w:val="99"/>
    <w:semiHidden/>
    <w:rPr>
      <w:rFonts w:ascii="Segoe UI" w:hAnsi="Segoe UI" w:cs="Segoe UI"/>
      <w:sz w:val="18"/>
      <w:szCs w:val="18"/>
    </w:rPr>
  </w:style>
  <w:style w:type="table" w:styleId="849">
    <w:name w:val="Table Grid"/>
    <w:basedOn w:val="837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Бутрина Виктория Викторовна</dc:creator>
  <cp:revision>84</cp:revision>
  <dcterms:created xsi:type="dcterms:W3CDTF">2022-02-22T03:24:00Z</dcterms:created>
  <dcterms:modified xsi:type="dcterms:W3CDTF">2024-08-16T04:43:49Z</dcterms:modified>
</cp:coreProperties>
</file>