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УТВЕРЖДЕНО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04.04.2022 № 149-п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художественно-экспертном совете по народным художественным промыслам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Художественно-экспертный совет по народным художественным промыслам Новосибирской области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Совет)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Правительством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целях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следующих функций: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) принятия решений об отнесении изделий,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изготовляемых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ерритории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к изделиям народных художественных промыслов по результатам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типовых образцов и уникальных изделий на</w:t>
      </w:r>
      <w:r>
        <w:rPr>
          <w:rFonts w:ascii="Times New Roman" w:hAnsi="Times New Roman" w:cs="Times New Roman"/>
          <w:sz w:val="28"/>
          <w:szCs w:val="28"/>
        </w:rPr>
        <w:t xml:space="preserve">родных художественных промыслов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соответствии с перечнем видов производств и групп изделий народных художественных промыслов, утверждаемым 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подпунктом 5.2.18</w:t>
      </w:r>
      <w:r>
        <w:rPr>
          <w:rFonts w:ascii="Times New Roman" w:hAnsi="Times New Roman" w:cs="Times New Roman"/>
          <w:sz w:val="28"/>
          <w:szCs w:val="28"/>
        </w:rPr>
        <w:t xml:space="preserve"> (3-4)</w:t>
      </w:r>
      <w:r>
        <w:rPr>
          <w:rFonts w:ascii="Times New Roman" w:hAnsi="Times New Roman" w:cs="Times New Roman"/>
          <w:sz w:val="28"/>
          <w:szCs w:val="28"/>
        </w:rPr>
        <w:t xml:space="preserve"> пункта 5 Положения о Министерстве промышленности и торговли Российской Федерации, утвержденного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05.06.2008 № 438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) осуществления экспертного сопровождения деятельности в области народных художественных промыслов;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) подготовки рекомендаций по вопросам совершенствования нормативного правового регулирования отношений в сфере сохранения, возрождения и развития народны</w:t>
      </w:r>
      <w:r>
        <w:rPr>
          <w:rFonts w:ascii="Times New Roman" w:hAnsi="Times New Roman" w:cs="Times New Roman"/>
          <w:sz w:val="28"/>
          <w:szCs w:val="28"/>
        </w:rPr>
        <w:t xml:space="preserve">х художественных промыслов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</w:t>
      </w:r>
      <w:r>
        <w:rPr>
          <w:rFonts w:ascii="Times New Roman" w:hAnsi="Times New Roman" w:cs="Times New Roman"/>
          <w:sz w:val="28"/>
          <w:szCs w:val="28"/>
        </w:rPr>
        <w:t xml:space="preserve">принятия решений о направлении образцов изделий народных художественных промыслов</w:t>
      </w:r>
      <w:r>
        <w:rPr>
          <w:rFonts w:ascii="Times New Roman" w:hAnsi="Times New Roman" w:cs="Times New Roman"/>
          <w:sz w:val="28"/>
          <w:szCs w:val="28"/>
        </w:rPr>
        <w:t xml:space="preserve">, изготавливаемых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Федеральный экспертный совет по народным художественным промыслам для их рассмотрения в целях регистрации в качестве образцов изделий народных художественных промыслов признанного художественного достоинства в соответствии с пунктом 1 статьи 7</w:t>
      </w:r>
      <w:r>
        <w:rPr>
          <w:rFonts w:ascii="Times New Roman" w:hAnsi="Times New Roman" w:cs="Times New Roman"/>
          <w:sz w:val="28"/>
          <w:szCs w:val="28"/>
        </w:rPr>
        <w:t xml:space="preserve">.1</w:t>
      </w:r>
      <w:r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06.01.1999 </w:t>
      </w:r>
      <w:r>
        <w:rPr>
          <w:rFonts w:ascii="Times New Roman" w:hAnsi="Times New Roman" w:cs="Times New Roman"/>
          <w:sz w:val="28"/>
          <w:szCs w:val="28"/>
        </w:rPr>
        <w:t xml:space="preserve">№ 7-ФЗ «</w:t>
      </w:r>
      <w:r>
        <w:rPr>
          <w:rFonts w:ascii="Times New Roman" w:hAnsi="Times New Roman" w:cs="Times New Roman"/>
          <w:sz w:val="28"/>
          <w:szCs w:val="28"/>
        </w:rPr>
        <w:t xml:space="preserve">О на</w:t>
      </w:r>
      <w:r>
        <w:rPr>
          <w:rFonts w:ascii="Times New Roman" w:hAnsi="Times New Roman" w:cs="Times New Roman"/>
          <w:sz w:val="28"/>
          <w:szCs w:val="28"/>
        </w:rPr>
        <w:t xml:space="preserve">родных художественных промыслах»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  <w:t xml:space="preserve">Состав Совета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</w:t>
      </w:r>
      <w:r>
        <w:rPr>
          <w:rFonts w:ascii="Times New Roman" w:hAnsi="Times New Roman" w:cs="Times New Roman"/>
          <w:sz w:val="28"/>
          <w:szCs w:val="28"/>
        </w:rPr>
        <w:t xml:space="preserve">Состав Совета формируется таким образом, чтобы была исключена возможност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возникновения конфликта интересов, который мог бы повлиять на решения, принимаемые Советом.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</w:t>
      </w:r>
      <w:r>
        <w:rPr>
          <w:rFonts w:ascii="Times New Roman" w:hAnsi="Times New Roman" w:cs="Times New Roman"/>
          <w:sz w:val="28"/>
          <w:szCs w:val="28"/>
        </w:rPr>
        <w:t xml:space="preserve">В состав Совета включаются: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министерства промышленности, торговли и развития предпринимательства Новосибирской области (не менее трех);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организаций, осуществляющих деятельность в области сохранения, в</w:t>
      </w:r>
      <w:r>
        <w:rPr>
          <w:rFonts w:ascii="Times New Roman" w:hAnsi="Times New Roman" w:cs="Times New Roman"/>
          <w:sz w:val="28"/>
          <w:szCs w:val="28"/>
        </w:rPr>
        <w:t xml:space="preserve">озрождения и развития народных художественных промыслов, а также научных, образовательных и некоммерческих организаций (не менее двух третей от общего числа членов Совета, при этом в составе Совета может быть не более одного человека от одной организации);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министерства культуры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</w:t>
      </w:r>
      <w:r>
        <w:rPr>
          <w:rFonts w:ascii="Times New Roman" w:hAnsi="Times New Roman" w:cs="Times New Roman"/>
          <w:sz w:val="28"/>
          <w:szCs w:val="28"/>
        </w:rPr>
        <w:t xml:space="preserve">Члены Совета должны соответствовать следующим требованиям: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</w:t>
      </w:r>
      <w:r>
        <w:rPr>
          <w:rFonts w:ascii="Times New Roman" w:hAnsi="Times New Roman" w:cs="Times New Roman"/>
          <w:sz w:val="28"/>
          <w:szCs w:val="28"/>
        </w:rPr>
        <w:t xml:space="preserve">иметь высшее образование;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</w:t>
      </w:r>
      <w:r>
        <w:rPr>
          <w:rFonts w:ascii="Times New Roman" w:hAnsi="Times New Roman" w:cs="Times New Roman"/>
          <w:sz w:val="28"/>
          <w:szCs w:val="28"/>
        </w:rPr>
        <w:t xml:space="preserve">иметь опыт работы в отрасли народных художественных промыслов не менее трех лет (для членов Совета, указанных в подпункте «б» пункта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оложения).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В целях формирования состава Совета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промышленности, торговли и развития предпринимательства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направляет предложения о включении представителей в состав Совета с указанием требований к ним, установленных пунктом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 организации и органы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указанные в подпунктах </w:t>
      </w:r>
      <w:r>
        <w:rPr>
          <w:rFonts w:ascii="Times New Roman" w:hAnsi="Times New Roman" w:cs="Times New Roman"/>
          <w:sz w:val="28"/>
          <w:szCs w:val="28"/>
        </w:rPr>
        <w:t xml:space="preserve">«б» и «в»</w:t>
      </w:r>
      <w:r>
        <w:rPr>
          <w:rFonts w:ascii="Times New Roman" w:hAnsi="Times New Roman" w:cs="Times New Roman"/>
          <w:sz w:val="28"/>
          <w:szCs w:val="28"/>
        </w:rPr>
        <w:t xml:space="preserve"> пункта 4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с использованием системы межведомственного электронного документооборота, функционирующей в соответствии с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22.09.</w:t>
      </w:r>
      <w:r>
        <w:rPr>
          <w:rFonts w:ascii="Times New Roman" w:hAnsi="Times New Roman" w:cs="Times New Roman"/>
          <w:sz w:val="28"/>
          <w:szCs w:val="28"/>
        </w:rPr>
        <w:t xml:space="preserve">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754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системе межведомственног</w:t>
      </w:r>
      <w:r>
        <w:rPr>
          <w:rFonts w:ascii="Times New Roman" w:hAnsi="Times New Roman" w:cs="Times New Roman"/>
          <w:sz w:val="28"/>
          <w:szCs w:val="28"/>
        </w:rPr>
        <w:t xml:space="preserve">о электронного документооборота»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МЭДО), или в форме документа на бумажном носителе.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и органы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получения предложений, указанных в абзаце первом настоящего пункта, направляют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промышленности, торговли и развития предпринимательства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следующие сведения о кандидатурах для включения в состав Совета: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занимаемой должности;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в отрасли народных художественных промыслов;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образовании.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сведения направляются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промышленности, торговли и развития предприним</w:t>
      </w:r>
      <w:r>
        <w:rPr>
          <w:rFonts w:ascii="Times New Roman" w:hAnsi="Times New Roman" w:cs="Times New Roman"/>
          <w:sz w:val="28"/>
          <w:szCs w:val="28"/>
        </w:rPr>
        <w:t xml:space="preserve">ательства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письмом за подписью руководителя (заместителя руководителя) организации или органа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с использованием усиленной квалифицированной электронной подписи, в том числе с использованием МЭДО, или в форме документа на бумажном носителе.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 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 промышленности, торговли и развития предпринимательства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получения сведений о кандидатурах, указанных в абзацах втором - шестом пункта 6 настоящего Положения, осуществляет проверку кандидатур на соответствие требованиям, установленным пунктом 5 настоящего Положения, по </w:t>
      </w:r>
      <w:r>
        <w:rPr>
          <w:rFonts w:ascii="Times New Roman" w:hAnsi="Times New Roman" w:cs="Times New Roman"/>
          <w:sz w:val="28"/>
          <w:szCs w:val="28"/>
        </w:rPr>
        <w:t xml:space="preserve">результатам которой: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</w:t>
      </w:r>
      <w:r>
        <w:rPr>
          <w:rFonts w:ascii="Times New Roman" w:hAnsi="Times New Roman" w:cs="Times New Roman"/>
          <w:sz w:val="28"/>
          <w:szCs w:val="28"/>
        </w:rPr>
        <w:t xml:space="preserve">в случае соответствия требованиям, установленным пунктом 5 настоящего Положения, подготавливает 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состава Совета или о внесении изменений в него и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носит его на рассмотрение Правительства Новосибирской области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</w:t>
      </w:r>
      <w:r>
        <w:rPr>
          <w:rFonts w:ascii="Times New Roman" w:hAnsi="Times New Roman" w:cs="Times New Roman"/>
          <w:sz w:val="28"/>
          <w:szCs w:val="28"/>
        </w:rPr>
        <w:t xml:space="preserve">в случае несоответствия требованиям, установленным пунктом 5 настоящего Положения, направляет соответствующее уведомление в организации и органы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области, указанные в подпунктах «б» и «в»</w:t>
      </w:r>
      <w:r>
        <w:rPr>
          <w:rFonts w:ascii="Times New Roman" w:hAnsi="Times New Roman" w:cs="Times New Roman"/>
          <w:sz w:val="28"/>
          <w:szCs w:val="28"/>
        </w:rPr>
        <w:t xml:space="preserve"> пункта 4 настоящего Положения, в электронной форме, в том числе с использованием МЭДО, или в форме документа на бумажном носителе, с указанием причины отклонения кандидатур для включения в состав Совета.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 В </w:t>
      </w:r>
      <w:r>
        <w:rPr>
          <w:rFonts w:ascii="Times New Roman" w:hAnsi="Times New Roman" w:cs="Times New Roman"/>
          <w:sz w:val="28"/>
          <w:szCs w:val="28"/>
        </w:rPr>
        <w:t xml:space="preserve">состав Совета входят председатель Совета, его заместитель, ответственный секретарь Совета и члены Совета.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</w:t>
      </w:r>
      <w:r>
        <w:rPr>
          <w:rFonts w:ascii="Times New Roman" w:hAnsi="Times New Roman" w:cs="Times New Roman"/>
          <w:sz w:val="28"/>
          <w:szCs w:val="28"/>
        </w:rPr>
        <w:t xml:space="preserve"> Состав Совета формируется сроком на три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 Председатель Совета осуществляет общее руководство деятельностью Совета, принимает решение о дате и времени проведения заседания Совета, утверждает повестку дня, протокол и проводит заседание Совета.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 Ответственный секретарь Совета обеспечивает подготовку и рассылку материалов к заседанию Совета, о</w:t>
      </w:r>
      <w:r>
        <w:rPr>
          <w:rFonts w:ascii="Times New Roman" w:hAnsi="Times New Roman" w:cs="Times New Roman"/>
          <w:sz w:val="28"/>
          <w:szCs w:val="28"/>
        </w:rPr>
        <w:t xml:space="preserve">повещает членов Совета о дате, времени и повестке дня заседания Совета, оформляет, утверждает и представляет на утверждение председательствующему на заседании Совета протокол заседания Совета, осуществляет рассылку утвержденных протоколов заседания Совета.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 Члены Совета имеют право участвовать в заседании Совета, рассматривать представленные типовые образцы и уникальные изд</w:t>
      </w:r>
      <w:r>
        <w:rPr>
          <w:rFonts w:ascii="Times New Roman" w:hAnsi="Times New Roman" w:cs="Times New Roman"/>
          <w:sz w:val="28"/>
          <w:szCs w:val="28"/>
        </w:rPr>
        <w:t xml:space="preserve">елия, принимать участие в голосовании, обращаться к председателю Совета по вопросам, входящим в компетенцию Совета, изложить в письменном виде особое мнение по вопросу, рассматриваемому на заседании Совета, которое прилагается к протоколу заседания Совета.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Члены Совета участвуют в его работе лично. Делегирование полномочий иным лицам, в том числе входящим в</w:t>
      </w:r>
      <w:r>
        <w:rPr>
          <w:rFonts w:ascii="Times New Roman" w:hAnsi="Times New Roman" w:cs="Times New Roman"/>
          <w:sz w:val="28"/>
          <w:szCs w:val="28"/>
        </w:rPr>
        <w:t xml:space="preserve"> состав Совета, не допускается.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овета м</w:t>
      </w:r>
      <w:r>
        <w:rPr>
          <w:rFonts w:ascii="Times New Roman" w:hAnsi="Times New Roman" w:cs="Times New Roman"/>
          <w:sz w:val="28"/>
          <w:szCs w:val="28"/>
        </w:rPr>
        <w:t xml:space="preserve">огут быть исключены из состава С</w:t>
      </w:r>
      <w:r>
        <w:rPr>
          <w:rFonts w:ascii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sz w:val="28"/>
          <w:szCs w:val="28"/>
        </w:rPr>
        <w:t xml:space="preserve">в случае не</w:t>
      </w:r>
      <w:r>
        <w:rPr>
          <w:rFonts w:ascii="Times New Roman" w:hAnsi="Times New Roman" w:cs="Times New Roman"/>
          <w:sz w:val="28"/>
          <w:szCs w:val="28"/>
        </w:rPr>
        <w:t xml:space="preserve"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два и более раза председателя Совета о наличии конфликта интересов, а также неприняти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мер по предотвращению или урегулированию конфликта интересов.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Формой деятельности Совета являются его заседания. Заседания Совета проводятся в очной форме, в том числе с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м режима видео-конференц-связи.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Совет проводит заседания по мере необходимо</w:t>
      </w:r>
      <w:r>
        <w:rPr>
          <w:rFonts w:ascii="Times New Roman" w:hAnsi="Times New Roman" w:cs="Times New Roman"/>
          <w:sz w:val="28"/>
          <w:szCs w:val="28"/>
        </w:rPr>
        <w:t xml:space="preserve">сти, но не реже двух раз в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Заседание Совета считается правомочным, если в нем приняли участие не менее полов</w:t>
      </w:r>
      <w:r>
        <w:rPr>
          <w:rFonts w:ascii="Times New Roman" w:hAnsi="Times New Roman" w:cs="Times New Roman"/>
          <w:sz w:val="28"/>
          <w:szCs w:val="28"/>
        </w:rPr>
        <w:t xml:space="preserve">ины от общего числа его членов.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Решения Совета принимаются простым большинством голосов членов Совета, участвующих в заседании Совет</w:t>
      </w:r>
      <w:r>
        <w:rPr>
          <w:rFonts w:ascii="Times New Roman" w:hAnsi="Times New Roman" w:cs="Times New Roman"/>
          <w:sz w:val="28"/>
          <w:szCs w:val="28"/>
        </w:rPr>
        <w:t xml:space="preserve">а, путем открытого голосования.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равенстве голосов членов Совета решающим является голос председател</w:t>
      </w:r>
      <w:r>
        <w:rPr>
          <w:rFonts w:ascii="Times New Roman" w:hAnsi="Times New Roman" w:cs="Times New Roman"/>
          <w:sz w:val="28"/>
          <w:szCs w:val="28"/>
        </w:rPr>
        <w:t xml:space="preserve">ьствующего на заседании Совета.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оформляется протоколом заседания Совета, который утверждается председательствующим на заседании Совета и ответственным секретарем Совета.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Протокол заседания Совета представляется ответственным секретарем Совета на утверждение председательствующему на заседании Совета в течение 10 рабочих дней со д</w:t>
      </w:r>
      <w:r>
        <w:rPr>
          <w:rFonts w:ascii="Times New Roman" w:hAnsi="Times New Roman" w:cs="Times New Roman"/>
          <w:sz w:val="28"/>
          <w:szCs w:val="28"/>
        </w:rPr>
        <w:t xml:space="preserve">ня проведения заседания Совета.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Члены Совета, несогласные с решением Совета, вправе изложить свое особое мнение, которое вносится в протокол заседания Совета или приобщается к нему, если особое мнение представлено членом Совета в письменной форме.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выполнение обязанностей члена Совета может по</w:t>
      </w:r>
      <w:r>
        <w:rPr>
          <w:rFonts w:ascii="Times New Roman" w:hAnsi="Times New Roman" w:cs="Times New Roman"/>
          <w:sz w:val="28"/>
          <w:szCs w:val="28"/>
        </w:rPr>
        <w:t xml:space="preserve">влечь за собой конфликт интересов, способный повлиять на полноту и объективность принимаемых решений, член Совета обязан сообщить в письменной форме о конфликте интересов председателю Совета, а также заявить самоотвод до начала проведения заседания Совета.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самоотвод члена Совета до пр</w:t>
      </w:r>
      <w:r>
        <w:rPr>
          <w:rFonts w:ascii="Times New Roman" w:hAnsi="Times New Roman" w:cs="Times New Roman"/>
          <w:sz w:val="28"/>
          <w:szCs w:val="28"/>
        </w:rPr>
        <w:t xml:space="preserve">оведения заседания Совета не заявлен, но имеются основания, указывающие на конфликт интересов члена Совета, председательствующий на заседании Совета рассматривает вопрос об отстранении члена Совета от участия в голосовании и выносит мотивированное решение.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конфликта интересов у председателя Совета, его полномочия на время очередного заседания Совета осуществляет заместитель председателя Совета.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Участие в голосовании членов Совета, имеющих конфликт </w:t>
      </w:r>
      <w:r>
        <w:rPr>
          <w:rFonts w:ascii="Times New Roman" w:hAnsi="Times New Roman" w:cs="Times New Roman"/>
          <w:sz w:val="28"/>
          <w:szCs w:val="28"/>
        </w:rPr>
        <w:t xml:space="preserve">интересов,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допускается.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Совета осуществляется министе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рством промышленности, торговли и развития предпринимательства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5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2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3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4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5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6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7">
    <w:name w:val="Balloon Text"/>
    <w:basedOn w:val="835"/>
    <w:link w:val="8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8" w:customStyle="1">
    <w:name w:val="Текст выноски Знак"/>
    <w:basedOn w:val="836"/>
    <w:link w:val="847"/>
    <w:uiPriority w:val="99"/>
    <w:semiHidden/>
    <w:rPr>
      <w:rFonts w:ascii="Segoe UI" w:hAnsi="Segoe UI" w:cs="Segoe UI"/>
      <w:sz w:val="18"/>
      <w:szCs w:val="18"/>
    </w:rPr>
  </w:style>
  <w:style w:type="table" w:styleId="849">
    <w:name w:val="Table Grid"/>
    <w:basedOn w:val="837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Бутрина Виктория Викторовна</dc:creator>
  <cp:revision>84</cp:revision>
  <dcterms:created xsi:type="dcterms:W3CDTF">2022-02-22T03:24:00Z</dcterms:created>
  <dcterms:modified xsi:type="dcterms:W3CDTF">2024-08-16T04:45:30Z</dcterms:modified>
</cp:coreProperties>
</file>