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F6" w:rsidRDefault="008647F6" w:rsidP="008647F6">
      <w:pPr>
        <w:pStyle w:val="ConsPlusNormal"/>
        <w:ind w:firstLine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47F6" w:rsidRDefault="008647F6" w:rsidP="008647F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8647F6" w:rsidRDefault="008647F6" w:rsidP="008647F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647F6" w:rsidRDefault="008647F6" w:rsidP="008647F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_______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_____</w:t>
      </w:r>
    </w:p>
    <w:p w:rsidR="00632356" w:rsidRDefault="00632356" w:rsidP="00C775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753B" w:rsidRPr="00C7753B" w:rsidRDefault="00C7753B" w:rsidP="00C775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53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C7753B" w:rsidRDefault="003F681B" w:rsidP="003F6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F681B">
        <w:rPr>
          <w:rFonts w:ascii="Times New Roman" w:hAnsi="Times New Roman" w:cs="Times New Roman"/>
          <w:b/>
          <w:sz w:val="28"/>
          <w:szCs w:val="28"/>
        </w:rPr>
        <w:t xml:space="preserve">ероприятий, в целях </w:t>
      </w:r>
      <w:proofErr w:type="spellStart"/>
      <w:r w:rsidRPr="003F681B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3F681B">
        <w:rPr>
          <w:rFonts w:ascii="Times New Roman" w:hAnsi="Times New Roman" w:cs="Times New Roman"/>
          <w:b/>
          <w:sz w:val="28"/>
          <w:szCs w:val="28"/>
        </w:rPr>
        <w:t xml:space="preserve"> которых предоставляется иной межбюджетный трансферт из федерального бюджета, источником финансового обеспечения которого являются бюджетные ассигнования резервного фонда Правительства Российской Федерации, бюджету Новосибирской области на финансовое обеспечение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Новосибирской области расходов на указанные цели</w:t>
      </w:r>
    </w:p>
    <w:p w:rsidR="003F681B" w:rsidRPr="003F681B" w:rsidRDefault="003F681B" w:rsidP="003F6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601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60"/>
        <w:gridCol w:w="850"/>
        <w:gridCol w:w="567"/>
        <w:gridCol w:w="966"/>
        <w:gridCol w:w="567"/>
        <w:gridCol w:w="567"/>
        <w:gridCol w:w="992"/>
        <w:gridCol w:w="567"/>
        <w:gridCol w:w="567"/>
        <w:gridCol w:w="851"/>
        <w:gridCol w:w="567"/>
        <w:gridCol w:w="567"/>
        <w:gridCol w:w="850"/>
        <w:gridCol w:w="709"/>
        <w:gridCol w:w="709"/>
      </w:tblGrid>
      <w:tr w:rsidR="00C7753B" w:rsidTr="00950D7A">
        <w:trPr>
          <w:trHeight w:hRule="exact" w:val="46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Наименование мероприятия (объекта капитального строительства, объекта недвижимого имущества)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Сметная</w:t>
            </w:r>
          </w:p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стоимость,</w:t>
            </w:r>
          </w:p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 xml:space="preserve">руб.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Срок</w:t>
            </w:r>
          </w:p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окончания</w:t>
            </w:r>
          </w:p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"/>
              </w:rPr>
              <w:t>Код</w:t>
            </w:r>
          </w:p>
          <w:p w:rsidR="00C7753B" w:rsidRDefault="00C7753B" w:rsidP="00C7753B">
            <w:pPr>
              <w:pStyle w:val="20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28pt"/>
              </w:rPr>
              <w:t>строки</w:t>
            </w:r>
          </w:p>
        </w:tc>
        <w:tc>
          <w:tcPr>
            <w:tcW w:w="621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Объем финансового обеспечения на реализацию мероприятия, предусмотренный в бюджете субъекта Российской Федерации, руб.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 xml:space="preserve">Предусмотрено бюджетных ассигнований в местном бюджете </w:t>
            </w:r>
            <w:r>
              <w:rPr>
                <w:rStyle w:val="28pt0"/>
              </w:rPr>
              <w:t>(</w:t>
            </w:r>
            <w:proofErr w:type="spellStart"/>
            <w:r>
              <w:rPr>
                <w:rStyle w:val="28pt0"/>
              </w:rPr>
              <w:t>справочно</w:t>
            </w:r>
            <w:proofErr w:type="spellEnd"/>
            <w:r>
              <w:rPr>
                <w:rStyle w:val="28pt0"/>
              </w:rPr>
              <w:t>)</w:t>
            </w:r>
          </w:p>
        </w:tc>
      </w:tr>
      <w:tr w:rsidR="00C7753B" w:rsidTr="00950D7A">
        <w:trPr>
          <w:trHeight w:hRule="exact" w:val="628"/>
        </w:trPr>
        <w:tc>
          <w:tcPr>
            <w:tcW w:w="4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jc w:val="center"/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в том числе средства Иного межбюджетного трансферта из федерального бюджета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уровень</w:t>
            </w:r>
          </w:p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>
              <w:rPr>
                <w:rStyle w:val="28pt"/>
              </w:rPr>
              <w:t>софинансирования</w:t>
            </w:r>
            <w:proofErr w:type="spellEnd"/>
            <w:r>
              <w:rPr>
                <w:rStyle w:val="28pt"/>
              </w:rPr>
              <w:t xml:space="preserve"> (%)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</w:tr>
      <w:tr w:rsidR="00C7753B" w:rsidTr="00950D7A">
        <w:trPr>
          <w:trHeight w:hRule="exact" w:val="341"/>
        </w:trPr>
        <w:tc>
          <w:tcPr>
            <w:tcW w:w="4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jc w:val="center"/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  <w:rPr>
                <w:rStyle w:val="28pt"/>
              </w:rPr>
            </w:pPr>
            <w:r>
              <w:rPr>
                <w:rStyle w:val="28pt"/>
              </w:rPr>
              <w:t xml:space="preserve">текущий </w:t>
            </w:r>
          </w:p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плановый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  <w:rPr>
                <w:rStyle w:val="28pt"/>
              </w:rPr>
            </w:pPr>
            <w:r>
              <w:rPr>
                <w:rStyle w:val="28pt"/>
              </w:rPr>
              <w:t xml:space="preserve">текущий </w:t>
            </w:r>
          </w:p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плановый период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текущий 2020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pt"/>
              </w:rPr>
              <w:t>текущий 2020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плановый период</w:t>
            </w:r>
          </w:p>
        </w:tc>
      </w:tr>
      <w:tr w:rsidR="00C7753B" w:rsidTr="00950D7A">
        <w:trPr>
          <w:trHeight w:hRule="exact" w:val="341"/>
        </w:trPr>
        <w:tc>
          <w:tcPr>
            <w:tcW w:w="4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  <w:tc>
          <w:tcPr>
            <w:tcW w:w="1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  <w:tc>
          <w:tcPr>
            <w:tcW w:w="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2021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2022 г.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2021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2022 г.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2021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2022 г.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2022 г.</w:t>
            </w:r>
          </w:p>
        </w:tc>
      </w:tr>
      <w:tr w:rsidR="00C7753B" w:rsidTr="00950D7A">
        <w:trPr>
          <w:trHeight w:hRule="exact"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7753B">
              <w:rPr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7753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7753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7753B">
              <w:rPr>
                <w:rStyle w:val="28p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7753B">
              <w:rPr>
                <w:rStyle w:val="28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7753B">
              <w:rPr>
                <w:rStyle w:val="28pt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3B" w:rsidRPr="00C7753B" w:rsidRDefault="00C7753B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950D7A" w:rsidTr="00950D7A">
        <w:trPr>
          <w:trHeight w:val="21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D7A" w:rsidRDefault="00950D7A" w:rsidP="00B92154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8pt"/>
              </w:rPr>
              <w:t>Предоставление иных межбюджетных трансфертов из федерального бюджета бюджетам субъектов Российской Федерации на финансовое обеспечение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Федерации расходов на указанные цели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D7A" w:rsidRDefault="00950D7A" w:rsidP="00C7753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28pt"/>
              </w:rPr>
              <w:t>31.12.2020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7 127 800,00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7 127 800,00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127 800,00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D7A" w:rsidRDefault="00950D7A" w:rsidP="00C7753B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D7A" w:rsidRDefault="00950D7A" w:rsidP="00950D7A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"/>
              </w:rPr>
              <w:t>0,00</w:t>
            </w:r>
          </w:p>
        </w:tc>
      </w:tr>
    </w:tbl>
    <w:p w:rsidR="00C7753B" w:rsidRPr="00C7753B" w:rsidRDefault="00C7753B" w:rsidP="008647F6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sectPr w:rsidR="00C7753B" w:rsidRPr="00C7753B" w:rsidSect="00C7753B">
      <w:pgSz w:w="16838" w:h="11906" w:orient="landscape"/>
      <w:pgMar w:top="568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3B"/>
    <w:rsid w:val="003E7565"/>
    <w:rsid w:val="003F681B"/>
    <w:rsid w:val="00632356"/>
    <w:rsid w:val="008647F6"/>
    <w:rsid w:val="00950D7A"/>
    <w:rsid w:val="00B92154"/>
    <w:rsid w:val="00C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A6871-5E56-4D37-B31F-B1E82D9A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sid w:val="00C775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sid w:val="00C7753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775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basedOn w:val="a0"/>
    <w:link w:val="20"/>
    <w:rsid w:val="00C77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pt">
    <w:name w:val="Основной текст (2) + 8 pt"/>
    <w:basedOn w:val="2"/>
    <w:rsid w:val="00C7753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Курсив"/>
    <w:basedOn w:val="2"/>
    <w:rsid w:val="00C7753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7753B"/>
    <w:pPr>
      <w:widowControl w:val="0"/>
      <w:shd w:val="clear" w:color="auto" w:fill="FFFFFF"/>
      <w:spacing w:after="0" w:line="307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C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15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64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Никишина Ольга Николаевна</dc:creator>
  <cp:keywords/>
  <dc:description/>
  <cp:lastModifiedBy>Дамм Инна Владимировна</cp:lastModifiedBy>
  <cp:revision>5</cp:revision>
  <cp:lastPrinted>2020-08-04T09:32:00Z</cp:lastPrinted>
  <dcterms:created xsi:type="dcterms:W3CDTF">2020-08-04T08:33:00Z</dcterms:created>
  <dcterms:modified xsi:type="dcterms:W3CDTF">2020-08-04T10:30:00Z</dcterms:modified>
</cp:coreProperties>
</file>