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  <w:r/>
    </w:p>
    <w:p>
      <w:pPr>
        <w:pStyle w:val="6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выплат участникам патрульных, патрульно-маневренных и маневренных групп</w:t>
      </w:r>
      <w:r>
        <w:rPr>
          <w:sz w:val="28"/>
          <w:szCs w:val="28"/>
        </w:rPr>
      </w:r>
      <w:r/>
    </w:p>
    <w:p>
      <w:pPr>
        <w:pStyle w:val="6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4.4. Протокола совещания по вопросу обеспечения мер пожарной безопасности и тушения ландшафтных пожаров на территории Новосибирской области от 30.01.2023, утвержденного Губернатором Новосибирской области 07.03.2023</w:t>
      </w:r>
      <w:r>
        <w:rPr>
          <w:sz w:val="28"/>
          <w:szCs w:val="28"/>
        </w:rPr>
        <w:t xml:space="preserve">, в соответствии с решением </w:t>
      </w:r>
      <w:r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Правительства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21.04.2023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2/1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Новосибирской области от 28.12.2007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211-па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резервном фонде Прав</w:t>
      </w:r>
      <w:r>
        <w:rPr>
          <w:sz w:val="28"/>
          <w:szCs w:val="28"/>
        </w:rPr>
        <w:t xml:space="preserve">ительства Новосибирской области», </w:t>
      </w:r>
      <w:r>
        <w:rPr>
          <w:sz w:val="28"/>
          <w:szCs w:val="28"/>
        </w:rPr>
        <w:t xml:space="preserve">в целях снижения риска возникновения чрезвычайных ситуаций, обусловленных природными пожарами и уменьшения их последствий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 н о в л я е т:</w:t>
      </w:r>
      <w:r>
        <w:rPr>
          <w:sz w:val="28"/>
          <w:szCs w:val="28"/>
        </w:rPr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Рекомендовать главам администраций муниципальных районов Новосибирской области: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</w:t>
      </w:r>
      <w:r>
        <w:rPr>
          <w:sz w:val="28"/>
          <w:szCs w:val="28"/>
        </w:rPr>
        <w:t xml:space="preserve">На основании анализа, проведенного Главным управлением МЧС России по Новосибирской области в соответствии с п. 2.1 настоящего постановления в срок до 15 октября 2023 года п</w:t>
      </w:r>
      <w:r>
        <w:rPr>
          <w:sz w:val="28"/>
          <w:szCs w:val="28"/>
        </w:rPr>
        <w:t xml:space="preserve">редставить в министерство жилищно-коммунального хозяйства и энергетики заявку</w:t>
      </w:r>
      <w:r>
        <w:rPr>
          <w:sz w:val="28"/>
          <w:szCs w:val="28"/>
        </w:rPr>
        <w:t xml:space="preserve"> о потребности в бюджетных ассигнованиях</w:t>
      </w:r>
      <w:r>
        <w:rPr>
          <w:sz w:val="28"/>
          <w:szCs w:val="28"/>
        </w:rPr>
        <w:t xml:space="preserve"> с детальным расчетом для осуществления вознаграждения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, входящ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 состав патрульных</w:t>
      </w:r>
      <w:r>
        <w:rPr>
          <w:sz w:val="28"/>
          <w:szCs w:val="28"/>
        </w:rPr>
        <w:t xml:space="preserve">, патрульно-маневренных и маневренных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добровольных пожарных коман</w:t>
      </w:r>
      <w:r>
        <w:rPr>
          <w:rFonts w:eastAsia="Calibri"/>
          <w:sz w:val="28"/>
          <w:szCs w:val="28"/>
          <w:highlight w:val="white"/>
        </w:rPr>
        <w:t xml:space="preserve">д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наиболее горимых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муниципальных образований </w:t>
      </w:r>
      <w:r>
        <w:rPr>
          <w:rFonts w:eastAsia="Calibri"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, привлекавшихся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</w:rPr>
        <w:t xml:space="preserve">период действия </w:t>
      </w:r>
      <w:r>
        <w:rPr>
          <w:sz w:val="28"/>
          <w:szCs w:val="28"/>
        </w:rPr>
        <w:t xml:space="preserve">особого противопожарного режима, установленного нормативным правовым актом Правительства </w:t>
      </w:r>
      <w:r>
        <w:rPr>
          <w:sz w:val="28"/>
          <w:szCs w:val="28"/>
        </w:rPr>
        <w:t xml:space="preserve">Новосибирской области.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</w:t>
      </w:r>
      <w:r>
        <w:rPr>
          <w:sz w:val="28"/>
          <w:szCs w:val="28"/>
        </w:rPr>
        <w:t xml:space="preserve">Критерии р</w:t>
      </w:r>
      <w:r>
        <w:rPr>
          <w:sz w:val="28"/>
          <w:szCs w:val="28"/>
        </w:rPr>
        <w:t xml:space="preserve">асчет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ассигнований</w:t>
      </w:r>
      <w:r>
        <w:rPr>
          <w:sz w:val="28"/>
          <w:szCs w:val="28"/>
        </w:rPr>
        <w:t xml:space="preserve">:</w:t>
      </w:r>
      <w:r/>
    </w:p>
    <w:p>
      <w:pPr>
        <w:pStyle w:val="620"/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населенных пунктах, </w:t>
      </w:r>
      <w:r>
        <w:rPr>
          <w:rFonts w:eastAsia="Calibri"/>
          <w:sz w:val="28"/>
          <w:szCs w:val="28"/>
        </w:rPr>
        <w:t xml:space="preserve">где снижение количества термических точек в период действия особого противопожарного режима составило от 50-100 %, выплаты</w:t>
      </w:r>
      <w:r>
        <w:rPr>
          <w:rFonts w:eastAsia="Calibri"/>
          <w:sz w:val="28"/>
          <w:szCs w:val="28"/>
        </w:rPr>
        <w:t xml:space="preserve"> предусматриваются</w:t>
      </w:r>
      <w:r>
        <w:rPr>
          <w:rFonts w:eastAsia="Calibri"/>
          <w:sz w:val="28"/>
          <w:szCs w:val="28"/>
        </w:rPr>
        <w:t xml:space="preserve"> с учетом снижения процентного количества термических точек, исходя из расчета: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при отсутствии пожаров в течении суток в период действия особого противопожарного режима, установленного нормативным правовым актом Правительства Новосибирской области,</w:t>
      </w:r>
      <w:r>
        <w:rPr>
          <w:rFonts w:eastAsia="Calibri"/>
          <w:sz w:val="28"/>
          <w:szCs w:val="28"/>
        </w:rPr>
        <w:t xml:space="preserve"> – </w:t>
      </w:r>
      <w:r/>
      <w:r>
        <w:rPr>
          <w:sz w:val="28"/>
          <w:szCs w:val="28"/>
        </w:rPr>
        <w:t xml:space="preserve">в размере 2 000,0 рублей на человека в сутки;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при возникновении за сутки до 5 термических точек и их ликвидация в течении суток</w:t>
      </w:r>
      <w:r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размере 1 000,0 рублей на человека в сутки: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при возникновении за сутки более 5 термических точек или ликвидация термических точек более суток</w:t>
      </w:r>
      <w:r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вознаграждение не выплачивается.</w:t>
      </w:r>
      <w:r>
        <w:rPr>
          <w:sz w:val="28"/>
          <w:szCs w:val="28"/>
        </w:rPr>
      </w:r>
      <w:r/>
    </w:p>
    <w:p>
      <w:pPr>
        <w:pStyle w:val="620"/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1.2.2. </w:t>
      </w:r>
      <w:r>
        <w:rPr>
          <w:rFonts w:eastAsia="Calibri"/>
          <w:sz w:val="28"/>
          <w:szCs w:val="28"/>
        </w:rPr>
        <w:t xml:space="preserve">В населенных пунктах, где снижение количества термических точек в период действия особого противопожарного режима составило от 20-50 %, </w:t>
      </w:r>
      <w:r>
        <w:rPr>
          <w:rFonts w:eastAsia="Calibri"/>
          <w:sz w:val="28"/>
          <w:szCs w:val="28"/>
        </w:rPr>
        <w:t xml:space="preserve">выплаты </w:t>
      </w:r>
      <w:r>
        <w:rPr>
          <w:rFonts w:eastAsia="Calibri"/>
          <w:sz w:val="28"/>
          <w:szCs w:val="28"/>
        </w:rPr>
        <w:t xml:space="preserve">предусматриваются </w:t>
      </w:r>
      <w:r>
        <w:rPr>
          <w:rFonts w:eastAsia="Calibri"/>
          <w:sz w:val="28"/>
          <w:szCs w:val="28"/>
        </w:rPr>
        <w:t xml:space="preserve">с учетом снижения процентного количества термических точек, исходя из расчета:</w:t>
      </w:r>
      <w:r/>
    </w:p>
    <w:p>
      <w:pPr>
        <w:pStyle w:val="620"/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при отсутствии пожаров в течении суток в период действия особого противопожарного режима, установленного нормативным правовым актом Правительства Новосибирской области, – в размере 1000,0 рублей на человека в сутки;</w:t>
      </w:r>
      <w:r/>
    </w:p>
    <w:p>
      <w:pPr>
        <w:pStyle w:val="620"/>
        <w:ind w:firstLine="709"/>
        <w:jc w:val="both"/>
        <w:tabs>
          <w:tab w:val="left" w:pos="709" w:leader="none"/>
        </w:tabs>
      </w:pPr>
      <w:r>
        <w:rPr>
          <w:rFonts w:eastAsia="Calibri"/>
          <w:sz w:val="28"/>
          <w:szCs w:val="28"/>
        </w:rPr>
        <w:t xml:space="preserve">2) при возникновении за сутки до 5 термических точек и их ликвидации в течении суток – в размере 500,0 рублей на человека в сутки;</w:t>
      </w:r>
      <w:r/>
    </w:p>
    <w:p>
      <w:pPr>
        <w:pStyle w:val="620"/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при возникновении за сутки более 5 термических точек или ликвидации термических точек более суток – вознаграждение не выплачивается.</w:t>
      </w:r>
      <w:r/>
    </w:p>
    <w:p>
      <w:pPr>
        <w:pStyle w:val="620"/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</w:t>
      </w:r>
      <w:r>
        <w:rPr>
          <w:rFonts w:eastAsia="Calibri"/>
          <w:sz w:val="28"/>
          <w:szCs w:val="28"/>
        </w:rPr>
        <w:t xml:space="preserve">3. В населенных пунктах, где снижение количества термических точек в период действия особого противопожарного режима составило от 0-20 % или произошло увеличение их количества в сравнении с прошлым годом – вознаграждение не выплачивать.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Расчет направляется в министерство </w:t>
      </w:r>
      <w:r>
        <w:rPr>
          <w:sz w:val="28"/>
          <w:szCs w:val="28"/>
        </w:rPr>
        <w:t xml:space="preserve">жилищно-коммунального хозяйства и энергетики Новосибирской области </w:t>
      </w:r>
      <w:r>
        <w:rPr>
          <w:sz w:val="28"/>
          <w:szCs w:val="28"/>
        </w:rPr>
        <w:t xml:space="preserve">после окончания особого противопожарного режима, </w:t>
      </w:r>
      <w:r>
        <w:rPr>
          <w:sz w:val="28"/>
          <w:szCs w:val="28"/>
        </w:rPr>
        <w:t xml:space="preserve">установленного нормативным правовым актом Правительства Новосибирской</w:t>
      </w:r>
      <w:r>
        <w:rPr>
          <w:sz w:val="28"/>
          <w:szCs w:val="28"/>
        </w:rPr>
        <w:t xml:space="preserve"> области, но </w:t>
      </w:r>
      <w:r>
        <w:rPr>
          <w:sz w:val="28"/>
          <w:szCs w:val="28"/>
        </w:rPr>
        <w:t xml:space="preserve">не позднее 1 ноября текущего года</w:t>
      </w:r>
      <w:r>
        <w:rPr>
          <w:sz w:val="28"/>
          <w:szCs w:val="28"/>
        </w:rPr>
        <w:t xml:space="preserve">.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После получения бюджетных ассигнований из резервного фонда Правительства Новосибирской области организовать осуществление вознаграждения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патрульных</w:t>
      </w:r>
      <w:r>
        <w:rPr>
          <w:sz w:val="28"/>
          <w:szCs w:val="28"/>
        </w:rPr>
        <w:t xml:space="preserve">, патрульно-маневренных и маневренных </w:t>
      </w:r>
      <w:r>
        <w:rPr>
          <w:sz w:val="28"/>
          <w:szCs w:val="28"/>
        </w:rPr>
        <w:t xml:space="preserve">групп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добровольных пожарных команд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муниципальных образований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 1.1. настоящего постановления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Рекоменд</w:t>
      </w:r>
      <w:r>
        <w:rPr>
          <w:sz w:val="28"/>
          <w:szCs w:val="28"/>
        </w:rPr>
        <w:t xml:space="preserve">овать Главному управлению МЧС Р</w:t>
      </w:r>
      <w:r>
        <w:rPr>
          <w:sz w:val="28"/>
          <w:szCs w:val="28"/>
        </w:rPr>
        <w:t xml:space="preserve">оссии по Новосибирской области </w:t>
      </w:r>
      <w:r>
        <w:rPr>
          <w:sz w:val="28"/>
          <w:szCs w:val="28"/>
        </w:rPr>
        <w:t xml:space="preserve">(Орлов В.В</w:t>
      </w:r>
      <w:r>
        <w:rPr>
          <w:sz w:val="28"/>
          <w:szCs w:val="28"/>
        </w:rPr>
        <w:t xml:space="preserve">.)</w:t>
      </w:r>
      <w:r>
        <w:rPr>
          <w:sz w:val="28"/>
          <w:szCs w:val="28"/>
        </w:rPr>
        <w:t xml:space="preserve">: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</w:t>
      </w:r>
      <w:r>
        <w:rPr>
          <w:sz w:val="28"/>
          <w:szCs w:val="28"/>
        </w:rPr>
        <w:t xml:space="preserve">В срок до</w:t>
      </w:r>
      <w:r>
        <w:rPr>
          <w:sz w:val="28"/>
          <w:szCs w:val="28"/>
        </w:rPr>
        <w:t xml:space="preserve"> 01 октября 2023 года п</w:t>
      </w:r>
      <w:r>
        <w:rPr>
          <w:sz w:val="28"/>
          <w:szCs w:val="28"/>
        </w:rPr>
        <w:t xml:space="preserve">ровести анализ</w:t>
      </w:r>
      <w:r>
        <w:rPr>
          <w:sz w:val="28"/>
          <w:szCs w:val="28"/>
        </w:rPr>
        <w:t xml:space="preserve"> возникновения термических точек и реагирования сил и средств </w:t>
      </w:r>
      <w:r>
        <w:rPr>
          <w:sz w:val="28"/>
          <w:szCs w:val="28"/>
        </w:rPr>
        <w:t xml:space="preserve">муниципальных районов </w:t>
      </w:r>
      <w:r>
        <w:rPr>
          <w:sz w:val="28"/>
          <w:szCs w:val="28"/>
        </w:rPr>
        <w:t xml:space="preserve">в период действия особого противопожарного режима на территории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направить в муниципальные районы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Министерству жилищно-коммунального хозяйства и энергетики Новосибирской области (Архипов Д.Н.):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срок до 15 ноября </w:t>
      </w:r>
      <w:r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 xml:space="preserve">подготовить проект нормативного правового акта о выделении средств из резервного фонда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Новосибирской области.</w:t>
      </w:r>
      <w:r/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выделения средств предоставить соответствующим администрациям муниципальных районов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субсидии для осуществления вознаграждения </w:t>
      </w:r>
      <w:r>
        <w:rPr>
          <w:sz w:val="28"/>
          <w:szCs w:val="28"/>
        </w:rPr>
        <w:t xml:space="preserve">граждан, входящих в состав патрульных, патрульно-маневренных и маневренных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добровольных пожарных команд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наиболее горимых муниципальных образований, </w:t>
      </w:r>
      <w:r>
        <w:rPr>
          <w:sz w:val="28"/>
          <w:szCs w:val="28"/>
          <w:highlight w:val="white"/>
        </w:rPr>
        <w:t xml:space="preserve">привлекавшихся </w:t>
      </w:r>
      <w:r>
        <w:rPr>
          <w:sz w:val="28"/>
          <w:szCs w:val="28"/>
        </w:rPr>
        <w:t xml:space="preserve">в период действия особого противопожарного режима, установленного нормативным правовым актом Правительства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2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Контроль за исполнением </w:t>
      </w:r>
      <w:r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возложить на заместителя Губернатора Новосибирской области Сёмку С.Н.</w:t>
      </w:r>
      <w:r>
        <w:rPr>
          <w:strike/>
          <w:sz w:val="28"/>
          <w:szCs w:val="28"/>
        </w:rPr>
      </w:r>
      <w:r/>
    </w:p>
    <w:p>
      <w:pPr>
        <w:pStyle w:val="620"/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2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Д.Н. Архипов</w:t>
      </w:r>
      <w:r/>
    </w:p>
    <w:p>
      <w:pPr>
        <w:pStyle w:val="620"/>
        <w:rPr>
          <w:color w:val="000000" w:themeColor="text1"/>
          <w:sz w:val="28"/>
          <w:szCs w:val="28"/>
        </w:rPr>
        <w:sectPr>
          <w:headerReference w:type="default" r:id="rId8"/>
          <w:headerReference w:type="first" r:id="rId9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  <w:t xml:space="preserve">238 76 09</w:t>
      </w:r>
      <w:r/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СОГЛАСОВАНО</w:t>
      </w:r>
      <w:r>
        <w:rPr>
          <w:sz w:val="20"/>
          <w:szCs w:val="20"/>
        </w:rPr>
      </w:r>
      <w:r/>
    </w:p>
    <w:p>
      <w:pPr>
        <w:jc w:val="both"/>
      </w:pPr>
      <w:r/>
      <w:r/>
      <w:r/>
    </w:p>
    <w:tbl>
      <w:tblPr>
        <w:tblStyle w:val="4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2298"/>
        <w:gridCol w:w="2804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2804" w:type="dxa"/>
            <w:textDirection w:val="lrTb"/>
            <w:noWrap w:val="false"/>
          </w:tcPr>
          <w:p>
            <w:pPr>
              <w:jc w:val="right"/>
            </w:pPr>
            <w:r/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В.М. Знатков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2804" w:type="dxa"/>
            <w:textDirection w:val="lrTb"/>
            <w:noWrap w:val="false"/>
          </w:tcPr>
          <w:p>
            <w:pPr>
              <w:jc w:val="right"/>
            </w:pPr>
            <w:r/>
            <w:r/>
            <w:r/>
          </w:p>
          <w:p>
            <w:pPr>
              <w:jc w:val="right"/>
            </w:pPr>
            <w:r/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С.Н. Сёмка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Председателя Правительства Новосибирской области-министр финансов и налоговой политики Новосибирской области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2804" w:type="dxa"/>
            <w:textDirection w:val="lrTb"/>
            <w:noWrap w:val="false"/>
          </w:tcPr>
          <w:p>
            <w:pPr>
              <w:jc w:val="right"/>
            </w:pPr>
            <w:r/>
            <w:r/>
            <w:r/>
          </w:p>
          <w:p>
            <w:pPr>
              <w:jc w:val="right"/>
            </w:pPr>
            <w:r/>
            <w:r/>
            <w:r/>
          </w:p>
          <w:p>
            <w:pPr>
              <w:jc w:val="right"/>
            </w:pPr>
            <w:r/>
            <w:r/>
            <w:r/>
          </w:p>
          <w:p>
            <w:pPr>
              <w:jc w:val="right"/>
            </w:pPr>
            <w:r/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В.Ю. Голубенко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color w:val="000000" w:themeColor="text1"/>
              </w:rPr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2804" w:type="dxa"/>
            <w:textDirection w:val="lrTb"/>
            <w:noWrap w:val="false"/>
          </w:tcPr>
          <w:p>
            <w:pPr>
              <w:jc w:val="right"/>
            </w:pPr>
            <w:r/>
            <w:r/>
            <w:r/>
          </w:p>
          <w:p>
            <w:pPr>
              <w:jc w:val="right"/>
            </w:pPr>
            <w:r/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Т.Н. Деркач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5068" w:type="dxa"/>
            <w:textDirection w:val="lrTb"/>
            <w:noWrap w:val="false"/>
          </w:tcPr>
          <w:p>
            <w:pPr>
              <w:pStyle w:val="620"/>
              <w:rPr>
                <w:rFonts w:cs="Arial"/>
                <w:sz w:val="28"/>
                <w:szCs w:val="28"/>
                <w:highlight w:val="none"/>
              </w:rPr>
            </w:pPr>
            <w:r>
              <w:rPr>
                <w:rFonts w:cs="Arial"/>
                <w:sz w:val="28"/>
                <w:szCs w:val="28"/>
              </w:rPr>
              <w:t xml:space="preserve">М</w:t>
            </w:r>
            <w:r>
              <w:rPr>
                <w:rFonts w:cs="Arial"/>
                <w:sz w:val="28"/>
                <w:szCs w:val="28"/>
              </w:rPr>
              <w:t xml:space="preserve">инистр </w:t>
            </w:r>
            <w:r>
              <w:rPr>
                <w:rFonts w:cs="Arial"/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rFonts w:cs="Arial"/>
                <w:sz w:val="28"/>
                <w:szCs w:val="28"/>
              </w:rPr>
            </w:r>
            <w:r/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/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620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/>
          </w:p>
        </w:tc>
        <w:tc>
          <w:tcPr>
            <w:tcW w:w="2804" w:type="dxa"/>
            <w:textDirection w:val="lrTb"/>
            <w:noWrap w:val="false"/>
          </w:tcPr>
          <w:p>
            <w:pPr>
              <w:pStyle w:val="620"/>
              <w:jc w:val="right"/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/>
          </w:p>
          <w:p>
            <w:pPr>
              <w:pStyle w:val="620"/>
              <w:jc w:val="right"/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/>
          </w:p>
          <w:p>
            <w:pPr>
              <w:pStyle w:val="620"/>
              <w:jc w:val="right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 xml:space="preserve">Д.Н. Архипов</w:t>
            </w:r>
            <w:r>
              <w:rPr>
                <w:rFonts w:cs="Arial"/>
                <w:sz w:val="28"/>
                <w:szCs w:val="28"/>
              </w:rPr>
            </w:r>
            <w:r/>
          </w:p>
        </w:tc>
      </w:tr>
    </w:tbl>
    <w:tbl>
      <w:tblPr>
        <w:tblW w:w="1020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2"/>
        <w:gridCol w:w="2305"/>
        <w:gridCol w:w="2797"/>
      </w:tblGrid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20"/>
              <w:tabs>
                <w:tab w:val="left" w:pos="1240" w:leader="none"/>
              </w:tabs>
              <w:rPr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7" w:type="dxa"/>
            <w:vAlign w:val="top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Е.А. Шестернин</w:t>
            </w:r>
            <w:r/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6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/>
          </w:p>
          <w:p>
            <w:pPr>
              <w:pStyle w:val="6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  <w:r/>
          </w:p>
          <w:p>
            <w:pPr>
              <w:pStyle w:val="6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5" w:type="dxa"/>
            <w:vAlign w:val="top"/>
            <w:textDirection w:val="lrTb"/>
            <w:noWrap w:val="false"/>
          </w:tcPr>
          <w:p>
            <w:pPr>
              <w:pStyle w:val="6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7" w:type="dxa"/>
            <w:vAlign w:val="top"/>
            <w:textDirection w:val="lrTb"/>
            <w:noWrap w:val="false"/>
          </w:tcPr>
          <w:p>
            <w:pPr>
              <w:pStyle w:val="6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/>
          </w:p>
          <w:p>
            <w:pPr>
              <w:pStyle w:val="620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/>
          </w:p>
          <w:p>
            <w:pPr>
              <w:pStyle w:val="620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В.В. Орлов</w:t>
            </w:r>
            <w:r>
              <w:rPr>
                <w:rFonts w:cs="Arial"/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>
        <w:trPr/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Дата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Подпись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Начальник отдела предупреждения ЧС и сопровождения программ</w:t>
            </w:r>
            <w:r/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Заместитель начальника управления – главный бухгалтер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управления финансово-экономического обеспечения</w:t>
            </w:r>
            <w:r/>
            <w:r>
              <w:rPr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организационно-правового и кадрового обеспечения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О.А. Дударик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227 05 66</w:t>
      </w:r>
      <w:r>
        <w:rPr>
          <w:sz w:val="20"/>
          <w:szCs w:val="20"/>
          <w:highlight w:val="none"/>
        </w:rPr>
      </w:r>
    </w:p>
    <w:sectPr>
      <w:headerReference w:type="default" r:id="rId10"/>
      <w:footnotePr/>
      <w:endnotePr/>
      <w:type w:val="continuous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t xml:space="preserve">1</w:t>
      </w:r>
    </w:fldSimple>
    <w:r/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r/>
    <w:r/>
  </w:p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uiPriority w:val="1"/>
    <w:unhideWhenUsed/>
  </w:style>
  <w:style w:type="table" w:styleId="622">
    <w:name w:val="Обычная таблица"/>
    <w:next w:val="622"/>
    <w:link w:val="620"/>
    <w:uiPriority w:val="99"/>
    <w:semiHidden/>
    <w:unhideWhenUsed/>
    <w:qFormat/>
    <w:tblPr/>
  </w:style>
  <w:style w:type="numbering" w:styleId="623">
    <w:name w:val="Нет списка"/>
    <w:next w:val="623"/>
    <w:link w:val="620"/>
    <w:uiPriority w:val="99"/>
    <w:semiHidden/>
    <w:unhideWhenUsed/>
  </w:style>
  <w:style w:type="character" w:styleId="624">
    <w:name w:val="Основной текст (3)_"/>
    <w:next w:val="624"/>
    <w:link w:val="625"/>
    <w:uiPriority w:val="9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625">
    <w:name w:val="Основной текст (3)"/>
    <w:basedOn w:val="620"/>
    <w:next w:val="625"/>
    <w:link w:val="624"/>
    <w:uiPriority w:val="99"/>
    <w:pPr>
      <w:jc w:val="center"/>
      <w:spacing w:before="420" w:after="420" w:line="240" w:lineRule="atLeast"/>
      <w:shd w:val="clear" w:color="auto" w:fill="ffffff"/>
      <w:widowControl w:val="off"/>
    </w:pPr>
    <w:rPr>
      <w:rFonts w:eastAsia="Calibri"/>
      <w:spacing w:val="10"/>
      <w:sz w:val="25"/>
      <w:szCs w:val="25"/>
      <w:lang w:val="en-US" w:eastAsia="en-US"/>
    </w:rPr>
  </w:style>
  <w:style w:type="paragraph" w:styleId="626">
    <w:name w:val="ConsNormal"/>
    <w:next w:val="626"/>
    <w:link w:val="620"/>
    <w:pPr>
      <w:ind w:firstLine="720"/>
      <w:widowControl w:val="off"/>
    </w:pPr>
    <w:rPr>
      <w:rFonts w:ascii="Arial" w:hAnsi="Arial" w:eastAsia="Times New Roman" w:cs="Arial"/>
      <w:color w:val="000000"/>
      <w:lang w:val="ru-RU" w:eastAsia="ru-RU" w:bidi="ar-SA"/>
    </w:rPr>
  </w:style>
  <w:style w:type="paragraph" w:styleId="627">
    <w:name w:val="Верхний колонтитул"/>
    <w:basedOn w:val="620"/>
    <w:next w:val="627"/>
    <w:link w:val="628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28">
    <w:name w:val="Верхний колонтитул Знак"/>
    <w:next w:val="628"/>
    <w:link w:val="627"/>
    <w:uiPriority w:val="99"/>
    <w:rPr>
      <w:sz w:val="22"/>
      <w:szCs w:val="22"/>
      <w:lang w:eastAsia="en-US"/>
    </w:rPr>
  </w:style>
  <w:style w:type="paragraph" w:styleId="629">
    <w:name w:val="Нижний колонтитул"/>
    <w:basedOn w:val="620"/>
    <w:next w:val="629"/>
    <w:link w:val="6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0">
    <w:name w:val="Нижний колонтитул Знак"/>
    <w:next w:val="630"/>
    <w:link w:val="629"/>
    <w:uiPriority w:val="99"/>
    <w:rPr>
      <w:rFonts w:ascii="Times New Roman" w:hAnsi="Times New Roman" w:eastAsia="Times New Roman"/>
      <w:sz w:val="24"/>
      <w:szCs w:val="24"/>
    </w:rPr>
  </w:style>
  <w:style w:type="character" w:styleId="1396" w:default="1">
    <w:name w:val="Default Paragraph Font"/>
    <w:uiPriority w:val="1"/>
    <w:semiHidden/>
    <w:unhideWhenUsed/>
  </w:style>
  <w:style w:type="numbering" w:styleId="1397" w:default="1">
    <w:name w:val="No List"/>
    <w:uiPriority w:val="99"/>
    <w:semiHidden/>
    <w:unhideWhenUsed/>
  </w:style>
  <w:style w:type="table" w:styleId="13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revision>18</cp:revision>
  <dcterms:created xsi:type="dcterms:W3CDTF">2023-03-15T02:32:00Z</dcterms:created>
  <dcterms:modified xsi:type="dcterms:W3CDTF">2023-09-12T07:39:05Z</dcterms:modified>
  <cp:version>983040</cp:version>
</cp:coreProperties>
</file>