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DE" w:rsidRPr="00AA35B7" w:rsidRDefault="00C454DE" w:rsidP="00C454DE">
      <w:pPr>
        <w:spacing w:after="0" w:line="240" w:lineRule="auto"/>
        <w:ind w:left="5954"/>
        <w:jc w:val="center"/>
        <w:rPr>
          <w:rFonts w:ascii="Times New Roman" w:hAnsi="Times New Roman"/>
          <w:sz w:val="24"/>
          <w:szCs w:val="24"/>
        </w:rPr>
      </w:pPr>
      <w:r w:rsidRPr="00AA35B7">
        <w:rPr>
          <w:rFonts w:ascii="Times New Roman" w:hAnsi="Times New Roman"/>
          <w:sz w:val="24"/>
          <w:szCs w:val="24"/>
        </w:rPr>
        <w:t>ПРИЛОЖЕНИЕ №</w:t>
      </w:r>
      <w:r w:rsidR="00021EC0" w:rsidRPr="00AA35B7">
        <w:rPr>
          <w:rFonts w:ascii="Times New Roman" w:hAnsi="Times New Roman"/>
          <w:sz w:val="24"/>
          <w:szCs w:val="24"/>
        </w:rPr>
        <w:t> </w:t>
      </w:r>
      <w:r w:rsidRPr="00AA35B7">
        <w:rPr>
          <w:rFonts w:ascii="Times New Roman" w:hAnsi="Times New Roman"/>
          <w:sz w:val="24"/>
          <w:szCs w:val="24"/>
        </w:rPr>
        <w:t>1</w:t>
      </w:r>
    </w:p>
    <w:p w:rsidR="00C454DE" w:rsidRPr="00DC4E32" w:rsidRDefault="00C454DE" w:rsidP="00AA35B7">
      <w:pPr>
        <w:spacing w:after="0" w:line="240" w:lineRule="auto"/>
        <w:ind w:left="5954"/>
        <w:jc w:val="center"/>
        <w:rPr>
          <w:rFonts w:ascii="Times New Roman" w:hAnsi="Times New Roman"/>
          <w:sz w:val="28"/>
          <w:szCs w:val="28"/>
        </w:rPr>
      </w:pPr>
      <w:r w:rsidRPr="00DC4E32">
        <w:rPr>
          <w:rFonts w:ascii="Times New Roman" w:hAnsi="Times New Roman"/>
          <w:sz w:val="28"/>
          <w:szCs w:val="28"/>
        </w:rPr>
        <w:t xml:space="preserve">к Условиям концессионного соглашения </w:t>
      </w:r>
      <w:r w:rsidR="00AA35B7" w:rsidRPr="00DC4E32">
        <w:rPr>
          <w:rFonts w:ascii="Times New Roman" w:hAnsi="Times New Roman"/>
          <w:sz w:val="28"/>
          <w:szCs w:val="28"/>
        </w:rPr>
        <w:t xml:space="preserve">в отношении создания и эксплуатации </w:t>
      </w:r>
      <w:r w:rsidR="003D083A">
        <w:rPr>
          <w:rFonts w:ascii="Times New Roman" w:hAnsi="Times New Roman"/>
          <w:sz w:val="28"/>
          <w:szCs w:val="28"/>
        </w:rPr>
        <w:t>комплексного районного полигона с мусоросортировочной линией в Тогучинском районе</w:t>
      </w:r>
      <w:r w:rsidR="00AA35B7" w:rsidRPr="00DC4E32">
        <w:rPr>
          <w:rFonts w:ascii="Times New Roman" w:hAnsi="Times New Roman"/>
          <w:sz w:val="28"/>
          <w:szCs w:val="28"/>
        </w:rPr>
        <w:t xml:space="preserve"> Новосибирской области</w:t>
      </w:r>
    </w:p>
    <w:p w:rsidR="00B361D5" w:rsidRPr="00AA35B7" w:rsidRDefault="00B361D5" w:rsidP="00AA35B7">
      <w:pPr>
        <w:spacing w:after="0" w:line="240" w:lineRule="auto"/>
        <w:ind w:left="5954"/>
        <w:jc w:val="center"/>
        <w:rPr>
          <w:rFonts w:ascii="Times New Roman" w:hAnsi="Times New Roman"/>
          <w:sz w:val="24"/>
          <w:szCs w:val="24"/>
        </w:rPr>
      </w:pPr>
    </w:p>
    <w:p w:rsidR="007D62F0" w:rsidRPr="00AA35B7" w:rsidRDefault="009F1E14" w:rsidP="00AA35B7">
      <w:pPr>
        <w:widowControl w:val="0"/>
        <w:spacing w:after="0" w:line="240" w:lineRule="auto"/>
        <w:ind w:right="-9"/>
        <w:jc w:val="center"/>
        <w:rPr>
          <w:rFonts w:ascii="Times New Roman" w:hAnsi="Times New Roman"/>
          <w:b/>
          <w:sz w:val="28"/>
          <w:szCs w:val="28"/>
          <w:lang w:bidi="ru-RU"/>
        </w:rPr>
      </w:pPr>
      <w:r w:rsidRPr="00F3387B">
        <w:rPr>
          <w:rFonts w:ascii="Times New Roman" w:hAnsi="Times New Roman"/>
          <w:b/>
          <w:sz w:val="28"/>
          <w:szCs w:val="28"/>
          <w:lang w:bidi="ru-RU"/>
        </w:rPr>
        <w:t xml:space="preserve">Термины, используемые в </w:t>
      </w:r>
      <w:r w:rsidR="00AA35B7" w:rsidRPr="00AA35B7">
        <w:rPr>
          <w:rFonts w:ascii="Times New Roman" w:hAnsi="Times New Roman"/>
          <w:b/>
          <w:sz w:val="28"/>
          <w:szCs w:val="28"/>
          <w:lang w:bidi="ru-RU"/>
        </w:rPr>
        <w:t>Условиях концессионного соглашения</w:t>
      </w:r>
      <w:r w:rsidR="00AA35B7">
        <w:rPr>
          <w:rFonts w:ascii="Times New Roman" w:hAnsi="Times New Roman"/>
          <w:b/>
          <w:sz w:val="28"/>
          <w:szCs w:val="28"/>
          <w:lang w:bidi="ru-RU"/>
        </w:rPr>
        <w:br/>
      </w:r>
      <w:r w:rsidR="00AA35B7" w:rsidRPr="00AA35B7">
        <w:rPr>
          <w:rFonts w:ascii="Times New Roman" w:hAnsi="Times New Roman"/>
          <w:b/>
          <w:sz w:val="28"/>
          <w:szCs w:val="28"/>
          <w:lang w:bidi="ru-RU"/>
        </w:rPr>
        <w:t xml:space="preserve">в отношении создания и эксплуатации </w:t>
      </w:r>
      <w:r w:rsidR="003D083A">
        <w:rPr>
          <w:rFonts w:ascii="Times New Roman" w:hAnsi="Times New Roman"/>
          <w:b/>
          <w:sz w:val="28"/>
          <w:szCs w:val="28"/>
          <w:lang w:bidi="ru-RU"/>
        </w:rPr>
        <w:t>комплексного районного полигона с мусоросортировочной линией в Тогучинском районе</w:t>
      </w:r>
      <w:r w:rsidR="00AA35B7" w:rsidRPr="00AA35B7">
        <w:rPr>
          <w:rFonts w:ascii="Times New Roman" w:hAnsi="Times New Roman"/>
          <w:b/>
          <w:sz w:val="28"/>
          <w:szCs w:val="28"/>
          <w:lang w:bidi="ru-RU"/>
        </w:rPr>
        <w:t xml:space="preserve"> Новосибирской области</w:t>
      </w:r>
    </w:p>
    <w:p w:rsidR="00AA35B7" w:rsidRPr="00C92A28" w:rsidRDefault="00AA35B7" w:rsidP="00AA35B7">
      <w:pPr>
        <w:widowControl w:val="0"/>
        <w:spacing w:after="0" w:line="240" w:lineRule="auto"/>
        <w:ind w:right="-9"/>
        <w:jc w:val="center"/>
        <w:rPr>
          <w:rFonts w:ascii="Times New Roman" w:hAnsi="Times New Roman"/>
          <w:sz w:val="28"/>
          <w:szCs w:val="28"/>
          <w:lang w:bidi="ru-RU"/>
        </w:rPr>
      </w:pPr>
    </w:p>
    <w:p w:rsidR="009F1E14" w:rsidRPr="00C92A28" w:rsidRDefault="009F1E14" w:rsidP="00C454DE">
      <w:pPr>
        <w:autoSpaceDE w:val="0"/>
        <w:autoSpaceDN w:val="0"/>
        <w:adjustRightInd w:val="0"/>
        <w:spacing w:after="0" w:line="240" w:lineRule="auto"/>
        <w:ind w:firstLine="709"/>
        <w:jc w:val="both"/>
        <w:rPr>
          <w:rFonts w:ascii="Times New Roman" w:hAnsi="Times New Roman"/>
          <w:sz w:val="28"/>
          <w:szCs w:val="28"/>
        </w:rPr>
      </w:pPr>
      <w:r w:rsidRPr="00C92A28">
        <w:rPr>
          <w:rFonts w:ascii="Times New Roman" w:hAnsi="Times New Roman"/>
          <w:sz w:val="28"/>
          <w:szCs w:val="28"/>
        </w:rPr>
        <w:t xml:space="preserve">Если иное прямо не указано или не следует из </w:t>
      </w:r>
      <w:r w:rsidR="00D03FF8" w:rsidRPr="00C92A28">
        <w:rPr>
          <w:rFonts w:ascii="Times New Roman" w:hAnsi="Times New Roman"/>
          <w:sz w:val="28"/>
          <w:szCs w:val="28"/>
        </w:rPr>
        <w:t xml:space="preserve">Законодательства, </w:t>
      </w:r>
      <w:r w:rsidRPr="00C92A28">
        <w:rPr>
          <w:rFonts w:ascii="Times New Roman" w:hAnsi="Times New Roman"/>
          <w:sz w:val="28"/>
          <w:szCs w:val="28"/>
        </w:rPr>
        <w:t>общего смысла или смысла соответствующей части текста Условий</w:t>
      </w:r>
      <w:r w:rsidR="001E7C75" w:rsidRPr="00C92A28">
        <w:rPr>
          <w:rFonts w:ascii="Times New Roman" w:hAnsi="Times New Roman"/>
          <w:sz w:val="28"/>
          <w:szCs w:val="28"/>
        </w:rPr>
        <w:t xml:space="preserve"> и приложений к нему</w:t>
      </w:r>
      <w:r w:rsidRPr="00C92A28">
        <w:rPr>
          <w:rFonts w:ascii="Times New Roman" w:hAnsi="Times New Roman"/>
          <w:sz w:val="28"/>
          <w:szCs w:val="28"/>
        </w:rPr>
        <w:t>, начинающиеся с заглавной буквы термины, сокращения и условные наименования имеют следующие</w:t>
      </w:r>
      <w:r w:rsidRPr="00C92A28">
        <w:rPr>
          <w:rFonts w:ascii="Times New Roman" w:hAnsi="Times New Roman"/>
          <w:spacing w:val="-1"/>
          <w:sz w:val="28"/>
          <w:szCs w:val="28"/>
        </w:rPr>
        <w:t xml:space="preserve"> </w:t>
      </w:r>
      <w:r w:rsidRPr="00C92A28">
        <w:rPr>
          <w:rFonts w:ascii="Times New Roman" w:hAnsi="Times New Roman"/>
          <w:sz w:val="28"/>
          <w:szCs w:val="28"/>
        </w:rPr>
        <w:t>значения:</w:t>
      </w:r>
    </w:p>
    <w:p w:rsidR="009F1E14" w:rsidRPr="00C92A28" w:rsidRDefault="009F1E14" w:rsidP="009F1E14">
      <w:pPr>
        <w:autoSpaceDE w:val="0"/>
        <w:autoSpaceDN w:val="0"/>
        <w:adjustRightInd w:val="0"/>
        <w:spacing w:after="0" w:line="240" w:lineRule="auto"/>
        <w:jc w:val="both"/>
        <w:rPr>
          <w:rFonts w:ascii="Times New Roman" w:hAnsi="Times New Roman"/>
          <w:sz w:val="28"/>
          <w:szCs w:val="28"/>
        </w:rPr>
      </w:pPr>
    </w:p>
    <w:tbl>
      <w:tblPr>
        <w:tblW w:w="98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4136"/>
        <w:gridCol w:w="10"/>
        <w:gridCol w:w="5670"/>
      </w:tblGrid>
      <w:tr w:rsidR="00137C7B" w:rsidRPr="00C92A28" w:rsidTr="00AA35B7">
        <w:trPr>
          <w:trHeight w:val="50"/>
        </w:trPr>
        <w:tc>
          <w:tcPr>
            <w:tcW w:w="4146" w:type="dxa"/>
            <w:gridSpan w:val="2"/>
            <w:shd w:val="clear" w:color="auto" w:fill="auto"/>
          </w:tcPr>
          <w:p w:rsidR="00137C7B" w:rsidRPr="00890F63" w:rsidRDefault="00137C7B" w:rsidP="00137C7B">
            <w:pPr>
              <w:pStyle w:val="TableParagraph"/>
              <w:tabs>
                <w:tab w:val="left" w:pos="1051"/>
              </w:tabs>
              <w:spacing w:before="120" w:after="120"/>
              <w:ind w:right="-9"/>
            </w:pPr>
            <w:r w:rsidRPr="00890F63">
              <w:t>Акт об исполнении обязательств</w:t>
            </w:r>
          </w:p>
        </w:tc>
        <w:tc>
          <w:tcPr>
            <w:tcW w:w="5680" w:type="dxa"/>
            <w:gridSpan w:val="2"/>
            <w:shd w:val="clear" w:color="auto" w:fill="auto"/>
          </w:tcPr>
          <w:p w:rsidR="00137C7B" w:rsidRPr="00890F63" w:rsidRDefault="00137C7B" w:rsidP="00922954">
            <w:pPr>
              <w:pStyle w:val="TableParagraph"/>
              <w:ind w:left="57"/>
              <w:jc w:val="both"/>
            </w:pPr>
            <w:r w:rsidRPr="00890F63">
              <w:rPr>
                <w:rFonts w:eastAsia="TimesNewRomanPSMT"/>
              </w:rPr>
              <w:t xml:space="preserve">означает </w:t>
            </w:r>
            <w:r w:rsidRPr="00890F63">
              <w:t>акт об исполнении Концессионером обязательств по Созданию Объекта Соглашения (завершению Создания Участка Объекта Соглашения), подписываемый Сторонами в порядке, предусмотренном Соглашени</w:t>
            </w:r>
            <w:r w:rsidR="00C454DE" w:rsidRPr="00890F63">
              <w:t>ем</w:t>
            </w:r>
            <w:r w:rsidRPr="00890F63">
              <w:rPr>
                <w:rFonts w:eastAsia="TimesNewRomanPSMT"/>
              </w:rPr>
              <w:t xml:space="preserve">, </w:t>
            </w:r>
            <w:r w:rsidRPr="00890F63">
              <w:t>на основании актов унифицированных форм КС-2 «Акты о приемке выполненных работ», КС-3 «Справка о стоимости выполненных работ и затрат», утвержденных постановлением Государственного Комитета Российской Федерации по статистике от</w:t>
            </w:r>
            <w:r w:rsidR="00D83A8D">
              <w:t> </w:t>
            </w:r>
            <w:r w:rsidRPr="00890F63">
              <w:t>11.11.1999 №</w:t>
            </w:r>
            <w:r w:rsidR="00703D12">
              <w:t> </w:t>
            </w:r>
            <w:r w:rsidRPr="00890F63">
              <w:t>100 «Об утверждении унифицированных форм первичной учетной документации по учету работ в капитальном строительстве</w:t>
            </w:r>
            <w:r w:rsidR="00703D12">
              <w:t xml:space="preserve"> и ремонтно-строительных работ»</w:t>
            </w:r>
          </w:p>
        </w:tc>
      </w:tr>
      <w:tr w:rsidR="00C454DE" w:rsidRPr="00C92A28" w:rsidTr="00AA35B7">
        <w:trPr>
          <w:trHeight w:val="50"/>
        </w:trPr>
        <w:tc>
          <w:tcPr>
            <w:tcW w:w="4146" w:type="dxa"/>
            <w:gridSpan w:val="2"/>
            <w:shd w:val="clear" w:color="auto" w:fill="auto"/>
          </w:tcPr>
          <w:p w:rsidR="00703D12" w:rsidRDefault="00C454DE" w:rsidP="00703D12">
            <w:pPr>
              <w:pStyle w:val="TableParagraph"/>
              <w:tabs>
                <w:tab w:val="left" w:pos="1051"/>
              </w:tabs>
              <w:ind w:right="-11"/>
            </w:pPr>
            <w:bookmarkStart w:id="0" w:name="_Hlk87281174"/>
            <w:r w:rsidRPr="00890F63">
              <w:t xml:space="preserve">Валовая выручка Концессионера </w:t>
            </w:r>
          </w:p>
          <w:p w:rsidR="00C454DE" w:rsidRPr="00890F63" w:rsidRDefault="00C454DE" w:rsidP="00703D12">
            <w:pPr>
              <w:pStyle w:val="TableParagraph"/>
              <w:tabs>
                <w:tab w:val="left" w:pos="1051"/>
              </w:tabs>
              <w:ind w:right="-11"/>
            </w:pPr>
            <w:r w:rsidRPr="00890F63">
              <w:t>от регулируемых видов деятельности</w:t>
            </w:r>
            <w:bookmarkEnd w:id="0"/>
            <w:r w:rsidRPr="00890F63">
              <w:t xml:space="preserve">, </w:t>
            </w:r>
            <w:r w:rsidR="00242728" w:rsidRPr="00890F63">
              <w:t>(</w:t>
            </w:r>
            <w:r w:rsidRPr="00890F63">
              <w:t>Валовая выручка</w:t>
            </w:r>
            <w:r w:rsidR="00242728" w:rsidRPr="00890F63">
              <w:t>)</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pPr>
            <w:r w:rsidRPr="00890F63">
              <w:t xml:space="preserve">означает выручку Концессионера от оказания Услуг </w:t>
            </w:r>
            <w:r w:rsidRPr="00890F63">
              <w:rPr>
                <w:spacing w:val="-1"/>
              </w:rPr>
              <w:t xml:space="preserve">Концессионера </w:t>
            </w:r>
            <w:r w:rsidRPr="00890F63">
              <w:t>рассчитанную на основании Долгосрочных параметров и Минимального объема отходов, поступающих на Объект Соглашения (включая КГО).</w:t>
            </w:r>
          </w:p>
          <w:p w:rsidR="00C454DE" w:rsidRPr="00890F63" w:rsidRDefault="00C454DE" w:rsidP="00DA254D">
            <w:pPr>
              <w:pStyle w:val="TableParagraph"/>
              <w:tabs>
                <w:tab w:val="left" w:pos="1950"/>
                <w:tab w:val="left" w:pos="3426"/>
              </w:tabs>
              <w:ind w:left="57"/>
              <w:jc w:val="both"/>
            </w:pPr>
            <w:r w:rsidRPr="00890F63">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sidRPr="00890F63">
              <w:rPr>
                <w:spacing w:val="-9"/>
              </w:rPr>
              <w:t xml:space="preserve"> </w:t>
            </w:r>
            <w:r w:rsidR="00703D12">
              <w:t>ТКО</w:t>
            </w:r>
          </w:p>
        </w:tc>
      </w:tr>
      <w:tr w:rsidR="00955F5B" w:rsidRPr="00C92A28" w:rsidTr="00AA35B7">
        <w:trPr>
          <w:gridBefore w:val="1"/>
          <w:wBefore w:w="10" w:type="dxa"/>
          <w:trHeight w:val="50"/>
        </w:trPr>
        <w:tc>
          <w:tcPr>
            <w:tcW w:w="4146" w:type="dxa"/>
            <w:gridSpan w:val="2"/>
            <w:shd w:val="clear" w:color="auto" w:fill="auto"/>
          </w:tcPr>
          <w:p w:rsidR="00955F5B" w:rsidRPr="00890F63" w:rsidRDefault="00955F5B" w:rsidP="00DA254D">
            <w:pPr>
              <w:pStyle w:val="TableParagraph"/>
              <w:tabs>
                <w:tab w:val="left" w:pos="1051"/>
              </w:tabs>
              <w:ind w:left="57"/>
              <w:rPr>
                <w:rFonts w:eastAsia="Calibri"/>
              </w:rPr>
            </w:pPr>
            <w:r w:rsidRPr="00890F63">
              <w:rPr>
                <w:rFonts w:eastAsia="Calibri"/>
              </w:rPr>
              <w:t>Государственная экспертиза</w:t>
            </w:r>
          </w:p>
        </w:tc>
        <w:tc>
          <w:tcPr>
            <w:tcW w:w="5670" w:type="dxa"/>
            <w:shd w:val="clear" w:color="auto" w:fill="auto"/>
          </w:tcPr>
          <w:p w:rsidR="00955F5B" w:rsidRPr="00C92A28" w:rsidRDefault="00955F5B" w:rsidP="00703D12">
            <w:pPr>
              <w:pStyle w:val="TableParagraph"/>
              <w:tabs>
                <w:tab w:val="left" w:pos="1950"/>
                <w:tab w:val="left" w:pos="3426"/>
              </w:tabs>
              <w:ind w:left="57"/>
              <w:jc w:val="both"/>
              <w:rPr>
                <w:rFonts w:eastAsia="Calibri"/>
              </w:rPr>
            </w:pPr>
            <w:r w:rsidRPr="00C92A28">
              <w:rPr>
                <w:rFonts w:eastAsia="Calibri"/>
              </w:rPr>
              <w:t xml:space="preserve">означает государственную экспертизу Проектной документации, </w:t>
            </w:r>
            <w:r w:rsidR="007E5866" w:rsidRPr="00C92A28">
              <w:rPr>
                <w:rFonts w:eastAsia="Calibri"/>
              </w:rPr>
              <w:t xml:space="preserve">прохождение которой обеспечивается Концессионером, </w:t>
            </w:r>
            <w:r w:rsidRPr="00C92A28">
              <w:rPr>
                <w:rFonts w:eastAsia="Calibri"/>
              </w:rPr>
              <w:t>проводимую в соответствии с Законодательством, в том числе в порядке, предусмотренном постановлением Правител</w:t>
            </w:r>
            <w:r w:rsidR="00F3387B">
              <w:rPr>
                <w:rFonts w:eastAsia="Calibri"/>
              </w:rPr>
              <w:t>ьства Российской Федерации от 05.03.</w:t>
            </w:r>
            <w:r w:rsidRPr="00C92A28">
              <w:rPr>
                <w:rFonts w:eastAsia="Calibri"/>
              </w:rPr>
              <w:t>2007</w:t>
            </w:r>
            <w:r w:rsidR="00F3387B">
              <w:rPr>
                <w:rFonts w:eastAsia="Calibri"/>
              </w:rPr>
              <w:t xml:space="preserve"> </w:t>
            </w:r>
            <w:r w:rsidRPr="00C92A28">
              <w:rPr>
                <w:rFonts w:eastAsia="Calibri"/>
              </w:rPr>
              <w:t>№</w:t>
            </w:r>
            <w:r w:rsidR="00703D12">
              <w:rPr>
                <w:rFonts w:eastAsia="Calibri"/>
              </w:rPr>
              <w:t> </w:t>
            </w:r>
            <w:r w:rsidRPr="00C92A28">
              <w:rPr>
                <w:rFonts w:eastAsia="Calibri"/>
              </w:rPr>
              <w:t>145 «О порядке организации и проведения государственной экспертизы проектной документации и результатов инженерных изысканий» или иным примен</w:t>
            </w:r>
            <w:r w:rsidR="00703D12">
              <w:rPr>
                <w:rFonts w:eastAsia="Calibri"/>
              </w:rPr>
              <w:t>имым нормативным правовым актом</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hanging="42"/>
              <w:rPr>
                <w:rFonts w:eastAsia="Calibri"/>
              </w:rPr>
            </w:pPr>
            <w:r w:rsidRPr="00890F63">
              <w:rPr>
                <w:rFonts w:eastAsia="Calibri"/>
              </w:rPr>
              <w:t>Долговое финансирование</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t xml:space="preserve">означает финансирование, предоставляемое на условиях возвратности, платности и срочности Финансирующими организациями Концессионеру для реализации </w:t>
            </w:r>
            <w:r w:rsidR="003D1148" w:rsidRPr="00890F63">
              <w:lastRenderedPageBreak/>
              <w:t>мероприятий</w:t>
            </w:r>
            <w:r w:rsidRPr="00890F63">
              <w:t xml:space="preserve"> в соответствии с Соглашениями о финансировании, за искл</w:t>
            </w:r>
            <w:r w:rsidR="00703D12">
              <w:t>ючением Долевого финансирования</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1051"/>
              </w:tabs>
              <w:spacing w:before="120" w:after="120"/>
              <w:ind w:right="-9"/>
            </w:pPr>
            <w:r w:rsidRPr="00890F63">
              <w:lastRenderedPageBreak/>
              <w:t>Долгосрочные параметры</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pPr>
            <w:r w:rsidRPr="00890F63">
              <w:t xml:space="preserve">означает указанные в Соглашении долгосрочные параметры регулирования Тарифа Концессионера, согласованные Сторонами на срок действия </w:t>
            </w:r>
            <w:r w:rsidR="00703D12">
              <w:t>Соглашения</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hanging="42"/>
              <w:rPr>
                <w:rFonts w:eastAsia="Calibri"/>
              </w:rPr>
            </w:pPr>
            <w:r w:rsidRPr="00890F63">
              <w:rPr>
                <w:rFonts w:eastAsia="Calibri"/>
              </w:rPr>
              <w:t>Долевое финансирование</w:t>
            </w:r>
          </w:p>
        </w:tc>
        <w:tc>
          <w:tcPr>
            <w:tcW w:w="5680" w:type="dxa"/>
            <w:gridSpan w:val="2"/>
            <w:shd w:val="clear" w:color="auto" w:fill="auto"/>
          </w:tcPr>
          <w:p w:rsidR="00C454DE" w:rsidRPr="00890F63" w:rsidRDefault="00C454DE" w:rsidP="00DA254D">
            <w:pPr>
              <w:pStyle w:val="TableParagraph"/>
              <w:tabs>
                <w:tab w:val="left" w:pos="1749"/>
              </w:tabs>
              <w:ind w:left="57"/>
              <w:jc w:val="both"/>
              <w:rPr>
                <w:rFonts w:eastAsia="Calibri"/>
              </w:rPr>
            </w:pPr>
            <w:r w:rsidRPr="00890F63">
              <w:t xml:space="preserve">означает финансирование, предоставляемое Инвесторами Концессионеру для реализации </w:t>
            </w:r>
            <w:r w:rsidR="004D5ED0" w:rsidRPr="00890F63">
              <w:t>мероприятий</w:t>
            </w:r>
            <w:r w:rsidRPr="00890F63">
              <w:t xml:space="preserve"> в форме вкладов в уставный капитал или вкладов в имущество Концессионера, а также в виде займов (кредитов), требования по которым субординированы по отношению к Долговому финансированию. Заем (кредит) будет считаться субординированным по отношению к Долговому финансированию, если такой заем (кредит) определен как субординированный в соответствии с условиями межкредиторского соглашения либо соглашения о субординации, сторонами которого являются, помимо прочих, Финансирующие организации, Концессионер и Инвестор, предоставивши</w:t>
            </w:r>
            <w:r w:rsidR="00703D12">
              <w:t>й соответствующий заем (кредит)</w:t>
            </w:r>
          </w:p>
        </w:tc>
      </w:tr>
      <w:tr w:rsidR="00C454DE" w:rsidRPr="00C92A28" w:rsidTr="00AA35B7">
        <w:trPr>
          <w:trHeight w:val="353"/>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До</w:t>
            </w:r>
            <w:r w:rsidR="0005137E" w:rsidRPr="00890F63">
              <w:rPr>
                <w:rFonts w:eastAsia="Calibri"/>
              </w:rPr>
              <w:t>говор аренды Земельного участка</w:t>
            </w:r>
            <w:r w:rsidRPr="00890F63">
              <w:rPr>
                <w:rFonts w:eastAsia="Calibri"/>
              </w:rPr>
              <w:t xml:space="preserve"> (Договоры аренды Земельных участков)</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rPr>
                <w:rFonts w:eastAsia="Calibri"/>
              </w:rPr>
              <w:t>означает договор (договоры) аренды или субаренды Земельного участка (Земельных участков) для осуществления деятельности по Концессионному соглашению, в том числе Создания Объекта концессионного соглашения и е</w:t>
            </w:r>
            <w:r w:rsidR="00703D12">
              <w:rPr>
                <w:rFonts w:eastAsia="Calibri"/>
              </w:rPr>
              <w:t>го использования (эксплуатации)</w:t>
            </w:r>
          </w:p>
        </w:tc>
      </w:tr>
      <w:tr w:rsidR="00971CAC" w:rsidRPr="00C92A28" w:rsidTr="00AA35B7">
        <w:trPr>
          <w:trHeight w:val="416"/>
        </w:trPr>
        <w:tc>
          <w:tcPr>
            <w:tcW w:w="4146" w:type="dxa"/>
            <w:gridSpan w:val="2"/>
            <w:shd w:val="clear" w:color="auto" w:fill="auto"/>
          </w:tcPr>
          <w:p w:rsidR="00971CAC" w:rsidRPr="00890F63" w:rsidRDefault="00971CAC" w:rsidP="00971CAC">
            <w:pPr>
              <w:pStyle w:val="TableParagraph"/>
              <w:tabs>
                <w:tab w:val="left" w:pos="42"/>
              </w:tabs>
              <w:spacing w:before="120" w:after="120"/>
              <w:ind w:left="42" w:right="-9"/>
              <w:rPr>
                <w:rFonts w:eastAsia="Calibri"/>
              </w:rPr>
            </w:pPr>
            <w:r w:rsidRPr="00890F63">
              <w:rPr>
                <w:rFonts w:eastAsia="Calibri"/>
              </w:rPr>
              <w:t>Дополнительные (незапланированные) расходы Концессионера</w:t>
            </w:r>
          </w:p>
        </w:tc>
        <w:tc>
          <w:tcPr>
            <w:tcW w:w="5680" w:type="dxa"/>
            <w:gridSpan w:val="2"/>
            <w:shd w:val="clear" w:color="auto" w:fill="auto"/>
          </w:tcPr>
          <w:p w:rsidR="00971CAC" w:rsidRPr="00890F63" w:rsidRDefault="00971CAC" w:rsidP="00DA254D">
            <w:pPr>
              <w:pStyle w:val="TableParagraph"/>
              <w:tabs>
                <w:tab w:val="left" w:pos="1997"/>
                <w:tab w:val="left" w:pos="3896"/>
              </w:tabs>
              <w:ind w:left="57"/>
              <w:jc w:val="both"/>
              <w:rPr>
                <w:rFonts w:eastAsia="Calibri"/>
              </w:rPr>
            </w:pPr>
            <w:r w:rsidRPr="00890F63">
              <w:rPr>
                <w:rFonts w:eastAsia="Calibri"/>
              </w:rPr>
              <w:t xml:space="preserve">означает расходы, </w:t>
            </w:r>
            <w:r w:rsidRPr="00890F63">
              <w:rPr>
                <w:rFonts w:eastAsia="Calibri"/>
                <w:spacing w:val="-1"/>
              </w:rPr>
              <w:t xml:space="preserve">понесенные </w:t>
            </w:r>
            <w:r w:rsidRPr="00890F63">
              <w:rPr>
                <w:rFonts w:eastAsia="Calibri"/>
              </w:rPr>
              <w:t>Концессионером в связи с исполнением Концессионного соглашения, включая расходы в связи с наступлением Особых обстоятельств, возмещаемые Концессионеру за счет средств бюджета Новосибирской области, наступившие в следующих случаях:</w:t>
            </w:r>
            <w:r w:rsidRPr="00890F63">
              <w:t xml:space="preserve"> </w:t>
            </w:r>
          </w:p>
          <w:p w:rsidR="00703D12" w:rsidRDefault="00703D12" w:rsidP="00703D12">
            <w:pPr>
              <w:pStyle w:val="TableParagraph"/>
              <w:tabs>
                <w:tab w:val="left" w:pos="838"/>
              </w:tabs>
              <w:ind w:left="13"/>
              <w:jc w:val="both"/>
              <w:rPr>
                <w:rFonts w:eastAsia="Calibri"/>
              </w:rPr>
            </w:pPr>
            <w:r>
              <w:rPr>
                <w:rFonts w:eastAsia="Calibri"/>
              </w:rPr>
              <w:t>1) указанных в п</w:t>
            </w:r>
            <w:r w:rsidR="00971CAC" w:rsidRPr="00890F63">
              <w:rPr>
                <w:rFonts w:eastAsia="Calibri"/>
              </w:rPr>
              <w:t>остановлении Правительства Российской Федерации от</w:t>
            </w:r>
            <w:r>
              <w:rPr>
                <w:rFonts w:eastAsia="Calibri"/>
              </w:rPr>
              <w:t> </w:t>
            </w:r>
            <w:r w:rsidR="00971CAC" w:rsidRPr="00890F63">
              <w:rPr>
                <w:rFonts w:eastAsia="Calibri"/>
              </w:rPr>
              <w:t>01.07.2014 №</w:t>
            </w:r>
            <w:r>
              <w:rPr>
                <w:rFonts w:eastAsia="Calibri"/>
              </w:rPr>
              <w:t> </w:t>
            </w:r>
            <w:r w:rsidR="00971CAC" w:rsidRPr="00890F63">
              <w:rPr>
                <w:rFonts w:eastAsia="Calibri"/>
              </w:rPr>
              <w:t xml:space="preserve">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w:t>
            </w:r>
          </w:p>
          <w:p w:rsidR="00971CAC" w:rsidRPr="00890F63" w:rsidRDefault="00971CAC" w:rsidP="00703D12">
            <w:pPr>
              <w:pStyle w:val="TableParagraph"/>
              <w:tabs>
                <w:tab w:val="left" w:pos="838"/>
              </w:tabs>
              <w:ind w:left="13"/>
              <w:jc w:val="both"/>
              <w:rPr>
                <w:rFonts w:eastAsia="Calibri"/>
              </w:rPr>
            </w:pPr>
            <w:r w:rsidRPr="00890F63">
              <w:rPr>
                <w:rFonts w:eastAsia="Calibri"/>
              </w:rPr>
              <w:t>и (или)</w:t>
            </w:r>
          </w:p>
          <w:p w:rsidR="00971CAC" w:rsidRDefault="00F00BFF" w:rsidP="00DA254D">
            <w:pPr>
              <w:pStyle w:val="TableParagraph"/>
              <w:tabs>
                <w:tab w:val="left" w:pos="838"/>
              </w:tabs>
              <w:ind w:left="57"/>
              <w:jc w:val="both"/>
              <w:rPr>
                <w:rFonts w:eastAsia="Calibri"/>
              </w:rPr>
            </w:pPr>
            <w:r w:rsidRPr="00890F63">
              <w:rPr>
                <w:rFonts w:eastAsia="Calibri"/>
              </w:rPr>
              <w:t>2) </w:t>
            </w:r>
            <w:r w:rsidR="00971CAC" w:rsidRPr="00890F63">
              <w:rPr>
                <w:rFonts w:eastAsia="Calibri"/>
              </w:rPr>
              <w:t>наступлени</w:t>
            </w:r>
            <w:r w:rsidR="001423AE" w:rsidRPr="00890F63">
              <w:rPr>
                <w:rFonts w:eastAsia="Calibri"/>
              </w:rPr>
              <w:t>я</w:t>
            </w:r>
            <w:r w:rsidR="00971CAC" w:rsidRPr="00890F63">
              <w:rPr>
                <w:rFonts w:eastAsia="Calibri"/>
              </w:rPr>
              <w:t xml:space="preserve">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w:t>
            </w:r>
            <w:r w:rsidR="00971CAC" w:rsidRPr="00890F63">
              <w:rPr>
                <w:rFonts w:eastAsia="Calibri"/>
                <w:spacing w:val="-1"/>
              </w:rPr>
              <w:t xml:space="preserve">Особыми </w:t>
            </w:r>
            <w:r w:rsidR="00971CAC" w:rsidRPr="00890F63">
              <w:rPr>
                <w:rFonts w:eastAsia="Calibri"/>
              </w:rPr>
              <w:t>обстоятельствами.</w:t>
            </w:r>
          </w:p>
          <w:p w:rsidR="002E4514" w:rsidRPr="00890F63" w:rsidRDefault="002E4514" w:rsidP="00DA254D">
            <w:pPr>
              <w:pStyle w:val="TableParagraph"/>
              <w:tabs>
                <w:tab w:val="left" w:pos="838"/>
              </w:tabs>
              <w:ind w:left="57"/>
              <w:jc w:val="both"/>
              <w:rPr>
                <w:rFonts w:eastAsia="Calibri"/>
              </w:rPr>
            </w:pPr>
          </w:p>
          <w:p w:rsidR="00971CAC" w:rsidRPr="00890F63" w:rsidRDefault="00971CAC" w:rsidP="00DA254D">
            <w:pPr>
              <w:pStyle w:val="TableParagraph"/>
              <w:tabs>
                <w:tab w:val="left" w:pos="1997"/>
                <w:tab w:val="left" w:pos="3896"/>
              </w:tabs>
              <w:ind w:left="57"/>
              <w:jc w:val="both"/>
              <w:rPr>
                <w:rFonts w:eastAsia="Calibri"/>
              </w:rPr>
            </w:pPr>
            <w:r w:rsidRPr="00890F63">
              <w:rPr>
                <w:rFonts w:eastAsia="Calibri"/>
              </w:rPr>
              <w:t xml:space="preserve">Возмещение Дополнительных (незапланированных) расходов Концессионера </w:t>
            </w:r>
            <w:r w:rsidRPr="00890F63">
              <w:rPr>
                <w:rFonts w:eastAsia="Calibri"/>
                <w:spacing w:val="-1"/>
              </w:rPr>
              <w:t xml:space="preserve">осуществляется </w:t>
            </w:r>
            <w:r w:rsidRPr="00890F63">
              <w:rPr>
                <w:rFonts w:eastAsia="Calibri"/>
              </w:rPr>
              <w:t>посредством предоставления Субсидий в целях возмещения Дополнительных (незапланированных) расходов Концессионера.</w:t>
            </w:r>
          </w:p>
          <w:p w:rsidR="00971CAC" w:rsidRPr="00890F63" w:rsidRDefault="00971CAC" w:rsidP="00703D12">
            <w:pPr>
              <w:pStyle w:val="TableParagraph"/>
              <w:tabs>
                <w:tab w:val="left" w:pos="1997"/>
                <w:tab w:val="left" w:pos="3896"/>
              </w:tabs>
              <w:ind w:left="57"/>
              <w:jc w:val="both"/>
              <w:rPr>
                <w:rFonts w:eastAsia="Calibri"/>
              </w:rPr>
            </w:pPr>
            <w:r w:rsidRPr="00890F63">
              <w:rPr>
                <w:rFonts w:eastAsia="Calibri"/>
              </w:rPr>
              <w:t xml:space="preserve">При этом, </w:t>
            </w:r>
            <w:r w:rsidRPr="00890F63">
              <w:t xml:space="preserve">предоставление субсидий Концессионеру </w:t>
            </w:r>
            <w:r w:rsidRPr="00890F63">
              <w:lastRenderedPageBreak/>
              <w:t>предусматривается только после решения Органа регулирования о невозможности установления тарифа, с уч</w:t>
            </w:r>
            <w:r w:rsidR="00703D12">
              <w:t>е</w:t>
            </w:r>
            <w:r w:rsidRPr="00890F63">
              <w:t xml:space="preserve">том превышения предельных (максимальных) индексов изменения размера вносимой гражданами платы за коммунальные услуги. Приоритетным способом возмещения </w:t>
            </w:r>
            <w:r w:rsidRPr="00890F63">
              <w:rPr>
                <w:rFonts w:eastAsia="Calibri"/>
              </w:rPr>
              <w:t>Дополнительных (незапланированных) расходов Концессионера</w:t>
            </w:r>
            <w:r w:rsidRPr="00890F63">
              <w:t xml:space="preserve"> является тарифное </w:t>
            </w:r>
            <w:r w:rsidR="00703D12">
              <w:t>регулирование на будущий период</w:t>
            </w:r>
          </w:p>
        </w:tc>
      </w:tr>
      <w:tr w:rsidR="00C454DE" w:rsidRPr="00C92A28" w:rsidTr="00AA35B7">
        <w:trPr>
          <w:trHeight w:val="837"/>
        </w:trPr>
        <w:tc>
          <w:tcPr>
            <w:tcW w:w="4146" w:type="dxa"/>
            <w:gridSpan w:val="2"/>
            <w:shd w:val="clear" w:color="auto" w:fill="auto"/>
          </w:tcPr>
          <w:p w:rsidR="00C454DE" w:rsidRPr="00890F63" w:rsidRDefault="00C454DE" w:rsidP="00703D12">
            <w:pPr>
              <w:pStyle w:val="TableParagraph"/>
              <w:tabs>
                <w:tab w:val="left" w:pos="42"/>
              </w:tabs>
              <w:spacing w:after="120"/>
              <w:ind w:left="42" w:right="-9"/>
              <w:rPr>
                <w:rFonts w:eastAsia="Calibri"/>
              </w:rPr>
            </w:pPr>
            <w:r w:rsidRPr="00890F63">
              <w:rPr>
                <w:rFonts w:eastAsia="Calibri"/>
              </w:rPr>
              <w:lastRenderedPageBreak/>
              <w:t>Закон о концессионных соглашениях</w:t>
            </w:r>
          </w:p>
        </w:tc>
        <w:tc>
          <w:tcPr>
            <w:tcW w:w="5680" w:type="dxa"/>
            <w:gridSpan w:val="2"/>
            <w:shd w:val="clear" w:color="auto" w:fill="auto"/>
          </w:tcPr>
          <w:p w:rsidR="00703D12" w:rsidRDefault="00C454DE" w:rsidP="00DA254D">
            <w:pPr>
              <w:pStyle w:val="TableParagraph"/>
              <w:tabs>
                <w:tab w:val="left" w:pos="1950"/>
                <w:tab w:val="left" w:pos="3426"/>
              </w:tabs>
              <w:ind w:left="57"/>
              <w:jc w:val="both"/>
              <w:rPr>
                <w:rFonts w:eastAsia="Calibri"/>
              </w:rPr>
            </w:pPr>
            <w:r w:rsidRPr="00890F63">
              <w:rPr>
                <w:rFonts w:eastAsia="Calibri"/>
              </w:rPr>
              <w:t xml:space="preserve">означает Федеральный закон от 21.07.2005 № 115-ФЗ </w:t>
            </w:r>
          </w:p>
          <w:p w:rsidR="00C454DE" w:rsidRPr="00890F63" w:rsidRDefault="00703D12" w:rsidP="00DA254D">
            <w:pPr>
              <w:pStyle w:val="TableParagraph"/>
              <w:tabs>
                <w:tab w:val="left" w:pos="1950"/>
                <w:tab w:val="left" w:pos="3426"/>
              </w:tabs>
              <w:ind w:left="57"/>
              <w:jc w:val="both"/>
              <w:rPr>
                <w:rFonts w:eastAsia="Calibri"/>
              </w:rPr>
            </w:pPr>
            <w:r>
              <w:rPr>
                <w:rFonts w:eastAsia="Calibri"/>
              </w:rPr>
              <w:t>«О концессионных соглашениях»</w:t>
            </w:r>
          </w:p>
        </w:tc>
      </w:tr>
      <w:tr w:rsidR="00C454DE" w:rsidRPr="00C92A28" w:rsidTr="00AA35B7">
        <w:trPr>
          <w:trHeight w:val="837"/>
        </w:trPr>
        <w:tc>
          <w:tcPr>
            <w:tcW w:w="4146" w:type="dxa"/>
            <w:gridSpan w:val="2"/>
            <w:shd w:val="clear" w:color="auto" w:fill="auto"/>
          </w:tcPr>
          <w:p w:rsidR="00C454DE" w:rsidRPr="00890F63" w:rsidRDefault="00C454DE" w:rsidP="00703D12">
            <w:pPr>
              <w:pStyle w:val="TableParagraph"/>
              <w:tabs>
                <w:tab w:val="left" w:pos="42"/>
              </w:tabs>
              <w:spacing w:after="120"/>
              <w:ind w:left="42" w:right="-9"/>
              <w:rPr>
                <w:rFonts w:eastAsia="Calibri"/>
              </w:rPr>
            </w:pPr>
            <w:r w:rsidRPr="00890F63">
              <w:rPr>
                <w:rFonts w:eastAsia="Calibri"/>
              </w:rPr>
              <w:t>Законодательство</w:t>
            </w:r>
          </w:p>
        </w:tc>
        <w:tc>
          <w:tcPr>
            <w:tcW w:w="5680" w:type="dxa"/>
            <w:gridSpan w:val="2"/>
            <w:shd w:val="clear" w:color="auto" w:fill="auto"/>
          </w:tcPr>
          <w:p w:rsidR="00C454DE" w:rsidRPr="00890F63" w:rsidRDefault="00C454DE" w:rsidP="00703D12">
            <w:pPr>
              <w:pStyle w:val="TableParagraph"/>
              <w:tabs>
                <w:tab w:val="left" w:pos="1950"/>
                <w:tab w:val="left" w:pos="3426"/>
              </w:tabs>
              <w:ind w:left="57"/>
              <w:jc w:val="both"/>
              <w:rPr>
                <w:rFonts w:eastAsia="Calibri"/>
              </w:rPr>
            </w:pPr>
            <w:r w:rsidRPr="00890F63">
              <w:rPr>
                <w:rFonts w:eastAsia="Calibri"/>
              </w:rPr>
              <w:t>означает вступившие в силу и сохраняющие свое действие норм</w:t>
            </w:r>
            <w:r w:rsidR="00703D12">
              <w:rPr>
                <w:rFonts w:eastAsia="Calibri"/>
              </w:rPr>
              <w:t>ы права Конституции Российской Ф</w:t>
            </w:r>
            <w:r w:rsidRPr="00890F63">
              <w:rPr>
                <w:rFonts w:eastAsia="Calibri"/>
              </w:rPr>
              <w:t>едерации, федеральных законов, законов Новосибирской области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w:t>
            </w:r>
            <w:r w:rsidR="00703D12">
              <w:rPr>
                <w:rFonts w:eastAsia="Calibri"/>
              </w:rPr>
              <w:t>,</w:t>
            </w:r>
            <w:r w:rsidRPr="00890F63">
              <w:rPr>
                <w:rFonts w:eastAsia="Calibri"/>
              </w:rPr>
              <w:t xml:space="preserve">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 Сторон и иных лиц в соответствии с Концессионным соглашением</w:t>
            </w:r>
          </w:p>
        </w:tc>
      </w:tr>
      <w:tr w:rsidR="00C454DE" w:rsidRPr="00C92A28" w:rsidTr="00AA35B7">
        <w:trPr>
          <w:trHeight w:val="977"/>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Земельный участок (Земельные участки)</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rPr>
                <w:rFonts w:eastAsia="Calibri"/>
              </w:rPr>
              <w:t>означает земельные участки (земельный участок)</w:t>
            </w:r>
            <w:r w:rsidR="00703D12">
              <w:rPr>
                <w:rFonts w:eastAsia="Calibri"/>
              </w:rPr>
              <w:t>,</w:t>
            </w:r>
            <w:r w:rsidRPr="00890F63">
              <w:rPr>
                <w:rFonts w:eastAsia="Calibri"/>
              </w:rPr>
              <w:t xml:space="preserve"> </w:t>
            </w:r>
            <w:r w:rsidRPr="00890F63">
              <w:rPr>
                <w:rFonts w:eastAsia="Calibri"/>
                <w:spacing w:val="-1"/>
              </w:rPr>
              <w:t xml:space="preserve">предоставляемые </w:t>
            </w:r>
            <w:r w:rsidR="00703D12">
              <w:rPr>
                <w:rFonts w:eastAsia="Calibri"/>
              </w:rPr>
              <w:t>Концессионеру Концедентом</w:t>
            </w:r>
          </w:p>
        </w:tc>
      </w:tr>
      <w:tr w:rsidR="00C454DE" w:rsidRPr="00C92A28" w:rsidTr="00AA35B7">
        <w:trPr>
          <w:trHeight w:val="1375"/>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Инвестиции Концессионера</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инвестиции, осуществляемые Концессионером в Объект концессионного соглашения в целях осуществления деятельности по Концессионному соглашению за счет Долг</w:t>
            </w:r>
            <w:r w:rsidR="00B35326">
              <w:rPr>
                <w:rFonts w:eastAsia="Calibri"/>
              </w:rPr>
              <w:t>ового и Долевого финансирования</w:t>
            </w:r>
          </w:p>
        </w:tc>
      </w:tr>
      <w:tr w:rsidR="00C454DE" w:rsidRPr="00C92A28" w:rsidTr="00AA35B7">
        <w:trPr>
          <w:trHeight w:val="719"/>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КГО</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w:t>
            </w:r>
            <w:r w:rsidR="00B35326">
              <w:rPr>
                <w:rFonts w:eastAsia="Calibri"/>
              </w:rPr>
              <w:t xml:space="preserve"> их складирование в контейнерах</w:t>
            </w:r>
          </w:p>
        </w:tc>
      </w:tr>
      <w:tr w:rsidR="00C454DE" w:rsidRPr="00C92A28" w:rsidTr="00AA35B7">
        <w:trPr>
          <w:trHeight w:val="719"/>
        </w:trPr>
        <w:tc>
          <w:tcPr>
            <w:tcW w:w="4146" w:type="dxa"/>
            <w:gridSpan w:val="2"/>
            <w:shd w:val="clear" w:color="auto" w:fill="auto"/>
          </w:tcPr>
          <w:p w:rsidR="00C454DE" w:rsidRPr="00890F63" w:rsidRDefault="000814F7" w:rsidP="00B35326">
            <w:pPr>
              <w:pStyle w:val="TableParagraph"/>
              <w:tabs>
                <w:tab w:val="left" w:pos="1051"/>
              </w:tabs>
              <w:spacing w:after="120"/>
              <w:ind w:right="-9"/>
            </w:pPr>
            <w:r w:rsidRPr="00890F63">
              <w:t>Корректировка Тарифа (</w:t>
            </w:r>
            <w:r w:rsidR="00C454DE" w:rsidRPr="00890F63">
              <w:t>Необходимой валовой выручки</w:t>
            </w:r>
            <w:r w:rsidRPr="00890F63">
              <w:t>)</w:t>
            </w:r>
          </w:p>
        </w:tc>
        <w:tc>
          <w:tcPr>
            <w:tcW w:w="5680" w:type="dxa"/>
            <w:gridSpan w:val="2"/>
            <w:shd w:val="clear" w:color="auto" w:fill="auto"/>
          </w:tcPr>
          <w:p w:rsidR="00C454DE" w:rsidRPr="00890F63" w:rsidRDefault="00C454DE" w:rsidP="00DA254D">
            <w:pPr>
              <w:pStyle w:val="TableParagraph"/>
              <w:tabs>
                <w:tab w:val="left" w:pos="1913"/>
                <w:tab w:val="left" w:pos="4430"/>
              </w:tabs>
              <w:ind w:left="57"/>
              <w:jc w:val="both"/>
            </w:pPr>
            <w:r w:rsidRPr="00890F63">
              <w:t>означает корректировку Тарифа Концессионера или Необходимой валовой выручки, осуществляемую Органом регулирования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w:t>
            </w:r>
            <w:r w:rsidR="00B35326">
              <w:t xml:space="preserve"> корректировки Законодательства</w:t>
            </w:r>
          </w:p>
        </w:tc>
      </w:tr>
      <w:tr w:rsidR="00C454DE" w:rsidRPr="00C92A28" w:rsidTr="00AA35B7">
        <w:trPr>
          <w:trHeight w:val="719"/>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t>Конкурс</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открытый конкурс в соответствии с Законом о концессионных соглашениях</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t>Концедент</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Новосибирская область, от имени которой выступает министерство жилищно-коммунального хозяйства и энергетики Новосибирской области</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lastRenderedPageBreak/>
              <w:t>Концессионер</w:t>
            </w:r>
          </w:p>
        </w:tc>
        <w:tc>
          <w:tcPr>
            <w:tcW w:w="5680" w:type="dxa"/>
            <w:gridSpan w:val="2"/>
            <w:shd w:val="clear" w:color="auto" w:fill="auto"/>
          </w:tcPr>
          <w:p w:rsidR="00C454DE" w:rsidRPr="00890F63" w:rsidRDefault="00C454DE" w:rsidP="00DA254D">
            <w:pPr>
              <w:autoSpaceDE w:val="0"/>
              <w:autoSpaceDN w:val="0"/>
              <w:adjustRightInd w:val="0"/>
              <w:spacing w:after="0" w:line="240" w:lineRule="auto"/>
              <w:ind w:left="57"/>
              <w:jc w:val="both"/>
              <w:rPr>
                <w:rFonts w:ascii="Times New Roman" w:eastAsia="Calibri" w:hAnsi="Times New Roman"/>
              </w:rPr>
            </w:pPr>
            <w:r w:rsidRPr="00890F63">
              <w:rPr>
                <w:rFonts w:ascii="Times New Roman" w:hAnsi="Times New Roman"/>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 которым заключается концессионное соглашение </w:t>
            </w:r>
            <w:r w:rsidR="00AA35B7">
              <w:rPr>
                <w:rFonts w:ascii="Times New Roman" w:hAnsi="Times New Roman"/>
              </w:rPr>
              <w:t xml:space="preserve">в отношении </w:t>
            </w:r>
            <w:r w:rsidR="00AA35B7" w:rsidRPr="00AA35B7">
              <w:rPr>
                <w:rFonts w:ascii="Times New Roman" w:hAnsi="Times New Roman"/>
              </w:rPr>
              <w:t xml:space="preserve">создания и эксплуатации </w:t>
            </w:r>
            <w:r w:rsidR="003D083A">
              <w:rPr>
                <w:rFonts w:ascii="Times New Roman" w:hAnsi="Times New Roman"/>
              </w:rPr>
              <w:t>комплексного районного полигона с мусоросортировочной линией в Тогучинском районе</w:t>
            </w:r>
            <w:r w:rsidR="00AA35B7" w:rsidRPr="00AA35B7">
              <w:rPr>
                <w:rFonts w:ascii="Times New Roman" w:hAnsi="Times New Roman"/>
              </w:rPr>
              <w:t xml:space="preserve"> Новосибирской области</w:t>
            </w:r>
          </w:p>
        </w:tc>
      </w:tr>
      <w:tr w:rsidR="00C454DE" w:rsidRPr="00C92A28" w:rsidTr="00AA35B7">
        <w:trPr>
          <w:trHeight w:val="892"/>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Концессионное соглашение</w:t>
            </w:r>
            <w:r w:rsidR="000814F7" w:rsidRPr="00890F63">
              <w:rPr>
                <w:rFonts w:eastAsia="Calibri"/>
              </w:rPr>
              <w:t xml:space="preserve"> (Соглашение)</w:t>
            </w:r>
          </w:p>
        </w:tc>
        <w:tc>
          <w:tcPr>
            <w:tcW w:w="5680" w:type="dxa"/>
            <w:gridSpan w:val="2"/>
            <w:shd w:val="clear" w:color="auto" w:fill="auto"/>
          </w:tcPr>
          <w:p w:rsidR="00C454DE" w:rsidRPr="00890F63" w:rsidRDefault="00C454DE" w:rsidP="00DA254D">
            <w:pPr>
              <w:autoSpaceDE w:val="0"/>
              <w:autoSpaceDN w:val="0"/>
              <w:adjustRightInd w:val="0"/>
              <w:spacing w:after="0" w:line="240" w:lineRule="auto"/>
              <w:ind w:left="57"/>
              <w:jc w:val="both"/>
              <w:rPr>
                <w:rFonts w:ascii="Times New Roman" w:hAnsi="Times New Roman"/>
              </w:rPr>
            </w:pPr>
            <w:r w:rsidRPr="00890F63">
              <w:rPr>
                <w:rFonts w:ascii="Times New Roman" w:hAnsi="Times New Roman"/>
              </w:rPr>
              <w:t xml:space="preserve">означает концессионное соглашение </w:t>
            </w:r>
            <w:r w:rsidR="00AA35B7">
              <w:rPr>
                <w:rFonts w:ascii="Times New Roman" w:hAnsi="Times New Roman"/>
              </w:rPr>
              <w:t xml:space="preserve">в отношении </w:t>
            </w:r>
            <w:r w:rsidR="00AA35B7" w:rsidRPr="00AA35B7">
              <w:rPr>
                <w:rFonts w:ascii="Times New Roman" w:hAnsi="Times New Roman"/>
              </w:rPr>
              <w:t xml:space="preserve">создания и эксплуатации </w:t>
            </w:r>
            <w:r w:rsidR="003D083A">
              <w:rPr>
                <w:rFonts w:ascii="Times New Roman" w:hAnsi="Times New Roman"/>
              </w:rPr>
              <w:t>комплексного районного полигона с мусоросортировочной линией в Тогучинском районе</w:t>
            </w:r>
            <w:r w:rsidR="00AA35B7" w:rsidRPr="00AA35B7">
              <w:rPr>
                <w:rFonts w:ascii="Times New Roman" w:hAnsi="Times New Roman"/>
              </w:rPr>
              <w:t xml:space="preserve"> Новосибирской области</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bookmarkStart w:id="1" w:name="_Hlk87272902"/>
            <w:r w:rsidRPr="00890F63">
              <w:rPr>
                <w:rFonts w:eastAsia="Calibri"/>
              </w:rPr>
              <w:t xml:space="preserve">Минимальный объем отходов, поступающих на Объект </w:t>
            </w:r>
            <w:bookmarkEnd w:id="1"/>
            <w:r w:rsidRPr="00890F63">
              <w:rPr>
                <w:rFonts w:eastAsia="Calibri"/>
              </w:rPr>
              <w:t>соглашения</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минимальный гарантированный ежегодный объем загрузки Объекта концессионного соглашения в полный календарный год срока действия Концессионного соглашения</w:t>
            </w:r>
            <w:r w:rsidR="00B35326">
              <w:rPr>
                <w:rFonts w:eastAsia="Calibri"/>
              </w:rPr>
              <w:t>,</w:t>
            </w:r>
            <w:r w:rsidRPr="00890F63">
              <w:rPr>
                <w:rFonts w:eastAsia="Calibri"/>
              </w:rPr>
              <w:t xml:space="preserve"> равный </w:t>
            </w:r>
            <w:r w:rsidR="00EC42EF">
              <w:rPr>
                <w:rFonts w:eastAsia="Calibri"/>
              </w:rPr>
              <w:t>11</w:t>
            </w:r>
            <w:r w:rsidRPr="00890F63">
              <w:rPr>
                <w:rFonts w:eastAsia="Calibri"/>
              </w:rPr>
              <w:t> 000 (</w:t>
            </w:r>
            <w:r w:rsidR="00EC42EF">
              <w:rPr>
                <w:rFonts w:eastAsia="Calibri"/>
              </w:rPr>
              <w:t>одиннадцать</w:t>
            </w:r>
            <w:r w:rsidRPr="00890F63">
              <w:rPr>
                <w:rFonts w:eastAsia="Calibri"/>
              </w:rPr>
              <w:t xml:space="preserve"> тысяч) тонн ТКО (включая КГО).</w:t>
            </w:r>
          </w:p>
          <w:p w:rsidR="008F4608" w:rsidRDefault="00B35326" w:rsidP="008F4608">
            <w:pPr>
              <w:pStyle w:val="TableParagraph"/>
              <w:ind w:left="57"/>
              <w:jc w:val="both"/>
              <w:rPr>
                <w:rFonts w:eastAsia="Calibri"/>
              </w:rPr>
            </w:pPr>
            <w:r>
              <w:rPr>
                <w:rFonts w:eastAsia="Calibri"/>
              </w:rPr>
              <w:t>В случае</w:t>
            </w:r>
            <w:r w:rsidR="00065403" w:rsidRPr="00890F63">
              <w:rPr>
                <w:rFonts w:eastAsia="Calibri"/>
              </w:rPr>
              <w:t xml:space="preserve"> если Концессионер будет эксплуатировать Объект Соглашения в теч</w:t>
            </w:r>
            <w:r w:rsidR="008F4608">
              <w:rPr>
                <w:rFonts w:eastAsia="Calibri"/>
              </w:rPr>
              <w:t xml:space="preserve">ение неполного календарного года, </w:t>
            </w:r>
            <w:r w:rsidR="00065403" w:rsidRPr="00890F63">
              <w:rPr>
                <w:rFonts w:eastAsia="Calibri"/>
              </w:rPr>
              <w:t xml:space="preserve">Минимальный объем отходов, поступающих на Объект Соглашения, </w:t>
            </w:r>
            <w:r w:rsidR="008F4608" w:rsidRPr="003A0443">
              <w:t xml:space="preserve">рассчитывается с учетом фактической длительности такого периода исходя из значения </w:t>
            </w:r>
            <w:r w:rsidR="00EC42EF">
              <w:t>917 (девятьсот семнадцать</w:t>
            </w:r>
            <w:bookmarkStart w:id="2" w:name="_GoBack"/>
            <w:bookmarkEnd w:id="2"/>
            <w:r w:rsidR="00EC42EF" w:rsidRPr="00EC42EF">
              <w:t xml:space="preserve">) </w:t>
            </w:r>
            <w:r w:rsidR="008F4608" w:rsidRPr="003A0443">
              <w:t>тонн ТКО за полный календарный месяц.</w:t>
            </w:r>
          </w:p>
          <w:p w:rsidR="00065403" w:rsidRDefault="00065403" w:rsidP="00DA254D">
            <w:pPr>
              <w:pStyle w:val="TableParagraph"/>
              <w:ind w:left="57"/>
              <w:jc w:val="both"/>
              <w:rPr>
                <w:rFonts w:eastAsia="Calibri"/>
              </w:rPr>
            </w:pPr>
          </w:p>
          <w:p w:rsidR="00C454DE" w:rsidRPr="00890F63" w:rsidRDefault="00E625DA" w:rsidP="00DA254D">
            <w:pPr>
              <w:pStyle w:val="TableParagraph"/>
              <w:ind w:left="57"/>
              <w:jc w:val="both"/>
              <w:rPr>
                <w:rFonts w:eastAsia="Calibri"/>
              </w:rPr>
            </w:pPr>
            <w:r w:rsidRPr="00890F63">
              <w:rPr>
                <w:rFonts w:eastAsia="Calibri"/>
              </w:rPr>
              <w:t>Согласно п</w:t>
            </w:r>
            <w:r w:rsidR="00267B5E" w:rsidRPr="00890F63">
              <w:rPr>
                <w:rFonts w:eastAsia="Calibri"/>
              </w:rPr>
              <w:t>ункту 8 части 2 статьи</w:t>
            </w:r>
            <w:r w:rsidRPr="00890F63">
              <w:rPr>
                <w:rFonts w:eastAsia="Calibri"/>
              </w:rPr>
              <w:t xml:space="preserve"> 24 Закона о концессионных соглашениях, минимальный объем отходов, поступающих на Объект соглашения</w:t>
            </w:r>
            <w:r w:rsidR="00B86D75" w:rsidRPr="00890F63">
              <w:rPr>
                <w:rFonts w:eastAsia="Calibri"/>
              </w:rPr>
              <w:t xml:space="preserve">, </w:t>
            </w:r>
            <w:r w:rsidRPr="00890F63">
              <w:rPr>
                <w:rFonts w:eastAsia="Calibri"/>
              </w:rPr>
              <w:t xml:space="preserve">устанавливается в качестве критерия конкурса на право заключения </w:t>
            </w:r>
            <w:r w:rsidR="000D658E" w:rsidRPr="00EE5E35">
              <w:rPr>
                <w:rFonts w:eastAsia="Calibri"/>
              </w:rPr>
              <w:t>К</w:t>
            </w:r>
            <w:r w:rsidRPr="00EE5E35">
              <w:rPr>
                <w:rFonts w:eastAsia="Calibri"/>
              </w:rPr>
              <w:t>онцессионного соглашения</w:t>
            </w:r>
            <w:r w:rsidRPr="00890F63">
              <w:rPr>
                <w:rFonts w:eastAsia="Calibri"/>
              </w:rPr>
              <w:t xml:space="preserve"> и будет использован для оценки конкурсных </w:t>
            </w:r>
            <w:r w:rsidR="00133D0D" w:rsidRPr="00890F63">
              <w:rPr>
                <w:rFonts w:eastAsia="Calibri"/>
              </w:rPr>
              <w:t>предложений лиц, участвующих в К</w:t>
            </w:r>
            <w:r w:rsidR="00B35326">
              <w:rPr>
                <w:rFonts w:eastAsia="Calibri"/>
              </w:rPr>
              <w:t>онкурсе</w:t>
            </w:r>
          </w:p>
        </w:tc>
      </w:tr>
      <w:tr w:rsidR="00C454DE" w:rsidRPr="00C92A28" w:rsidTr="00AA35B7">
        <w:trPr>
          <w:trHeight w:val="596"/>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НДС</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w:t>
            </w:r>
            <w:r w:rsidR="00B35326">
              <w:rPr>
                <w:rFonts w:eastAsia="Calibri"/>
              </w:rPr>
              <w:t xml:space="preserve"> налог на добавленную стоимость</w:t>
            </w:r>
          </w:p>
        </w:tc>
      </w:tr>
      <w:tr w:rsidR="00C454DE" w:rsidRPr="00C92A28" w:rsidTr="00AA35B7">
        <w:trPr>
          <w:trHeight w:val="851"/>
        </w:trPr>
        <w:tc>
          <w:tcPr>
            <w:tcW w:w="4146" w:type="dxa"/>
            <w:gridSpan w:val="2"/>
            <w:shd w:val="clear" w:color="auto" w:fill="auto"/>
          </w:tcPr>
          <w:p w:rsidR="00D87CE6" w:rsidRPr="00890F63" w:rsidRDefault="00C454DE" w:rsidP="00B35326">
            <w:pPr>
              <w:pStyle w:val="TableParagraph"/>
              <w:tabs>
                <w:tab w:val="left" w:pos="42"/>
              </w:tabs>
              <w:spacing w:after="120"/>
              <w:ind w:left="42" w:right="-9"/>
              <w:rPr>
                <w:rFonts w:eastAsia="Calibri"/>
              </w:rPr>
            </w:pPr>
            <w:r w:rsidRPr="00890F63">
              <w:rPr>
                <w:rFonts w:eastAsia="Calibri"/>
              </w:rPr>
              <w:t>Невозмещенные расходы</w:t>
            </w:r>
            <w:r w:rsidR="000814F7" w:rsidRPr="00890F63">
              <w:rPr>
                <w:rFonts w:eastAsia="Calibri"/>
              </w:rPr>
              <w:t xml:space="preserve"> (</w:t>
            </w:r>
            <w:r w:rsidR="00D87CE6" w:rsidRPr="00890F63">
              <w:rPr>
                <w:rFonts w:eastAsia="Calibri"/>
              </w:rPr>
              <w:t>Невозмещенные расход</w:t>
            </w:r>
            <w:r w:rsidR="000814F7" w:rsidRPr="00890F63">
              <w:rPr>
                <w:rFonts w:eastAsia="Calibri"/>
              </w:rPr>
              <w:t>ы</w:t>
            </w:r>
            <w:r w:rsidR="00D87CE6" w:rsidRPr="00890F63">
              <w:rPr>
                <w:rFonts w:eastAsia="Calibri"/>
              </w:rPr>
              <w:t xml:space="preserve"> при прекращении соглашения</w:t>
            </w:r>
            <w:r w:rsidR="000814F7" w:rsidRPr="00890F63">
              <w:rPr>
                <w:rFonts w:eastAsia="Calibri"/>
              </w:rPr>
              <w:t>)</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фактически понесенные расходы Концессионера, подлежащие возмещению в соответствии с Законодательством в сфере регулирования цен (тарифов) и не возмещенные ему на момент окончания срока дей</w:t>
            </w:r>
            <w:r w:rsidR="00B35326">
              <w:rPr>
                <w:rFonts w:eastAsia="Calibri"/>
              </w:rPr>
              <w:t>ствия Концессионного соглашения</w:t>
            </w:r>
          </w:p>
        </w:tc>
      </w:tr>
      <w:tr w:rsidR="00D87CE6" w:rsidRPr="00C92A28" w:rsidTr="00AA35B7">
        <w:trPr>
          <w:trHeight w:val="416"/>
        </w:trPr>
        <w:tc>
          <w:tcPr>
            <w:tcW w:w="4146" w:type="dxa"/>
            <w:gridSpan w:val="2"/>
            <w:shd w:val="clear" w:color="auto" w:fill="auto"/>
          </w:tcPr>
          <w:p w:rsidR="00D87CE6" w:rsidRPr="00890F63" w:rsidRDefault="00D87CE6" w:rsidP="00B35326">
            <w:pPr>
              <w:pStyle w:val="TableParagraph"/>
              <w:tabs>
                <w:tab w:val="left" w:pos="42"/>
              </w:tabs>
              <w:spacing w:after="120"/>
              <w:ind w:left="42" w:right="-9"/>
              <w:rPr>
                <w:rFonts w:eastAsia="Calibri"/>
              </w:rPr>
            </w:pPr>
            <w:r w:rsidRPr="00890F63">
              <w:rPr>
                <w:rFonts w:eastAsia="Calibri"/>
              </w:rPr>
              <w:t>Недополученные доходы Концессионера</w:t>
            </w:r>
          </w:p>
        </w:tc>
        <w:tc>
          <w:tcPr>
            <w:tcW w:w="5680" w:type="dxa"/>
            <w:gridSpan w:val="2"/>
            <w:shd w:val="clear" w:color="auto" w:fill="auto"/>
          </w:tcPr>
          <w:p w:rsidR="00D87CE6" w:rsidRPr="00890F63" w:rsidRDefault="00242728" w:rsidP="00B35326">
            <w:pPr>
              <w:pStyle w:val="TableParagraph"/>
              <w:tabs>
                <w:tab w:val="left" w:pos="1997"/>
                <w:tab w:val="left" w:pos="3896"/>
              </w:tabs>
              <w:ind w:left="57"/>
              <w:jc w:val="both"/>
              <w:rPr>
                <w:rFonts w:eastAsia="Calibri"/>
              </w:rPr>
            </w:pPr>
            <w:r w:rsidRPr="00890F63">
              <w:rPr>
                <w:rFonts w:eastAsia="Calibri"/>
              </w:rPr>
              <w:t xml:space="preserve">доходы </w:t>
            </w:r>
            <w:r w:rsidR="00CE38BF" w:rsidRPr="00890F63">
              <w:rPr>
                <w:rFonts w:eastAsia="Calibri"/>
              </w:rPr>
              <w:t>Концессионера,</w:t>
            </w:r>
            <w:r w:rsidRPr="00890F63">
              <w:rPr>
                <w:rFonts w:eastAsia="Calibri"/>
              </w:rPr>
              <w:t xml:space="preserve"> не полученные в предыдущие периоды регулирования в связи со снижением объема и</w:t>
            </w:r>
            <w:r w:rsidR="00B35326">
              <w:rPr>
                <w:rFonts w:eastAsia="Calibri"/>
              </w:rPr>
              <w:t> </w:t>
            </w:r>
            <w:r w:rsidRPr="00890F63">
              <w:rPr>
                <w:rFonts w:eastAsia="Calibri"/>
              </w:rPr>
              <w:t>(или) массы твердых коммунальных отходов по сравнению с объемом и</w:t>
            </w:r>
            <w:r w:rsidR="00B35326">
              <w:rPr>
                <w:rFonts w:eastAsia="Calibri"/>
              </w:rPr>
              <w:t> </w:t>
            </w:r>
            <w:r w:rsidRPr="00890F63">
              <w:rPr>
                <w:rFonts w:eastAsia="Calibri"/>
              </w:rPr>
              <w:t>(или) массой твердых коммунальных отходов, уч</w:t>
            </w:r>
            <w:r w:rsidR="00B35326">
              <w:rPr>
                <w:rFonts w:eastAsia="Calibri"/>
              </w:rPr>
              <w:t>тенных при установлении тарифов</w:t>
            </w:r>
          </w:p>
        </w:tc>
      </w:tr>
      <w:tr w:rsidR="00242728" w:rsidRPr="00C92A28" w:rsidTr="00AA35B7">
        <w:trPr>
          <w:trHeight w:val="416"/>
        </w:trPr>
        <w:tc>
          <w:tcPr>
            <w:tcW w:w="4146" w:type="dxa"/>
            <w:gridSpan w:val="2"/>
            <w:shd w:val="clear" w:color="auto" w:fill="auto"/>
          </w:tcPr>
          <w:p w:rsidR="00242728" w:rsidRPr="00890F63" w:rsidRDefault="00242728" w:rsidP="00B35326">
            <w:pPr>
              <w:pStyle w:val="TableParagraph"/>
              <w:tabs>
                <w:tab w:val="left" w:pos="42"/>
              </w:tabs>
              <w:spacing w:after="120"/>
              <w:ind w:left="42" w:right="-9"/>
              <w:rPr>
                <w:rFonts w:eastAsia="Calibri"/>
              </w:rPr>
            </w:pPr>
            <w:r w:rsidRPr="00890F63">
              <w:t>Необходимая валовая выручка</w:t>
            </w:r>
          </w:p>
        </w:tc>
        <w:tc>
          <w:tcPr>
            <w:tcW w:w="5680" w:type="dxa"/>
            <w:gridSpan w:val="2"/>
            <w:shd w:val="clear" w:color="auto" w:fill="auto"/>
          </w:tcPr>
          <w:p w:rsidR="00242728" w:rsidRPr="00890F63" w:rsidRDefault="00242728" w:rsidP="00DA254D">
            <w:pPr>
              <w:pStyle w:val="TableParagraph"/>
              <w:tabs>
                <w:tab w:val="left" w:pos="1997"/>
                <w:tab w:val="left" w:pos="3896"/>
              </w:tabs>
              <w:ind w:left="57"/>
              <w:jc w:val="both"/>
              <w:rPr>
                <w:rFonts w:eastAsia="Calibri"/>
              </w:rPr>
            </w:pPr>
            <w:r w:rsidRPr="00890F63">
              <w:t xml:space="preserve">экономически обоснованный объем финансовых средств, необходимый в течение очередного периода регулирования </w:t>
            </w:r>
            <w:r w:rsidR="00297BC2" w:rsidRPr="00890F63">
              <w:t>Концессионера</w:t>
            </w:r>
            <w:r w:rsidRPr="00890F63">
              <w:t xml:space="preserve">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плановых значений показателей эффективности объектов, используемы</w:t>
            </w:r>
            <w:r w:rsidR="009C2A9E" w:rsidRPr="00890F63">
              <w:t>х для обработки, обезвреживания</w:t>
            </w:r>
            <w:r w:rsidRPr="00890F63">
              <w:t xml:space="preserve"> </w:t>
            </w:r>
            <w:r w:rsidR="009C2A9E" w:rsidRPr="00890F63">
              <w:t xml:space="preserve">и </w:t>
            </w:r>
            <w:r w:rsidRPr="00890F63">
              <w:t>захоронен</w:t>
            </w:r>
            <w:r w:rsidR="00B35326">
              <w:t>ия твердых коммунальных отходов</w:t>
            </w:r>
          </w:p>
        </w:tc>
      </w:tr>
      <w:tr w:rsidR="00C454DE" w:rsidRPr="00C92A28" w:rsidTr="00AA35B7">
        <w:trPr>
          <w:trHeight w:val="879"/>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lastRenderedPageBreak/>
              <w:t>Объект концессионного соглашения</w:t>
            </w:r>
          </w:p>
        </w:tc>
        <w:tc>
          <w:tcPr>
            <w:tcW w:w="5680" w:type="dxa"/>
            <w:gridSpan w:val="2"/>
            <w:shd w:val="clear" w:color="auto" w:fill="auto"/>
          </w:tcPr>
          <w:p w:rsidR="00C454DE" w:rsidRPr="00890F63" w:rsidRDefault="00C454DE" w:rsidP="00B35326">
            <w:pPr>
              <w:pStyle w:val="TableParagraph"/>
              <w:tabs>
                <w:tab w:val="left" w:pos="1997"/>
                <w:tab w:val="left" w:pos="3896"/>
              </w:tabs>
              <w:ind w:left="57"/>
              <w:jc w:val="both"/>
              <w:rPr>
                <w:rFonts w:eastAsia="Calibri"/>
              </w:rPr>
            </w:pPr>
            <w:r w:rsidRPr="00890F63">
              <w:rPr>
                <w:rFonts w:eastAsia="Calibri"/>
              </w:rPr>
              <w:t>означает совокупность технологически связанного между собой движимого и недвижимого имущества, предназначенного для обработки</w:t>
            </w:r>
            <w:r w:rsidR="002B0662" w:rsidRPr="00890F63">
              <w:rPr>
                <w:rFonts w:eastAsia="Calibri"/>
              </w:rPr>
              <w:t>,</w:t>
            </w:r>
            <w:r w:rsidRPr="00890F63">
              <w:rPr>
                <w:rFonts w:eastAsia="Calibri"/>
              </w:rPr>
              <w:t xml:space="preserve">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 технико-экономические показатели которого предусмотрены </w:t>
            </w:r>
            <w:r w:rsidR="00B35326">
              <w:rPr>
                <w:rFonts w:eastAsia="Calibri"/>
              </w:rPr>
              <w:t>п</w:t>
            </w:r>
            <w:r w:rsidRPr="00890F63">
              <w:rPr>
                <w:rFonts w:eastAsia="Calibri"/>
              </w:rPr>
              <w:t xml:space="preserve">риложением </w:t>
            </w:r>
            <w:r w:rsidR="00B35326">
              <w:rPr>
                <w:rFonts w:eastAsia="Calibri"/>
              </w:rPr>
              <w:t>№ 2 к Условиям</w:t>
            </w:r>
          </w:p>
        </w:tc>
      </w:tr>
      <w:tr w:rsidR="00C454DE" w:rsidRPr="00C92A28" w:rsidTr="00AA35B7">
        <w:trPr>
          <w:trHeight w:val="879"/>
        </w:trPr>
        <w:tc>
          <w:tcPr>
            <w:tcW w:w="4146" w:type="dxa"/>
            <w:gridSpan w:val="2"/>
            <w:shd w:val="clear" w:color="auto" w:fill="auto"/>
          </w:tcPr>
          <w:p w:rsidR="00C454DE" w:rsidRPr="00890F63" w:rsidRDefault="00C454DE" w:rsidP="00B35326">
            <w:pPr>
              <w:pStyle w:val="TableParagraph"/>
              <w:tabs>
                <w:tab w:val="left" w:pos="1051"/>
              </w:tabs>
              <w:spacing w:after="120"/>
              <w:ind w:right="-9"/>
            </w:pPr>
            <w:r w:rsidRPr="00890F63">
              <w:t>Орган регулирования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pPr>
            <w:r w:rsidRPr="00890F63">
              <w:t xml:space="preserve">означает областной исполнительный орган государственной власти Новосибирской области, осуществляющий исполнительно-распорядительную деятельность и нормативное правовое регулирование в сфере государственного регулирования </w:t>
            </w:r>
            <w:r w:rsidR="00B35326">
              <w:t>цен (тарифов) и ценообразования</w:t>
            </w:r>
          </w:p>
        </w:tc>
      </w:tr>
      <w:tr w:rsidR="004B5979" w:rsidRPr="00C92A28" w:rsidTr="00AA35B7">
        <w:trPr>
          <w:trHeight w:val="879"/>
        </w:trPr>
        <w:tc>
          <w:tcPr>
            <w:tcW w:w="4146" w:type="dxa"/>
            <w:gridSpan w:val="2"/>
            <w:shd w:val="clear" w:color="auto" w:fill="auto"/>
          </w:tcPr>
          <w:p w:rsidR="004B5979" w:rsidRPr="00890F63" w:rsidRDefault="004B5979" w:rsidP="00B35326">
            <w:pPr>
              <w:pStyle w:val="TableParagraph"/>
              <w:tabs>
                <w:tab w:val="left" w:pos="1051"/>
              </w:tabs>
              <w:spacing w:after="120"/>
              <w:ind w:right="-9"/>
            </w:pPr>
            <w:r w:rsidRPr="00890F63">
              <w:t xml:space="preserve">Особые обстоятельства </w:t>
            </w:r>
          </w:p>
        </w:tc>
        <w:tc>
          <w:tcPr>
            <w:tcW w:w="5680" w:type="dxa"/>
            <w:gridSpan w:val="2"/>
            <w:shd w:val="clear" w:color="auto" w:fill="auto"/>
          </w:tcPr>
          <w:p w:rsidR="004B5979" w:rsidRPr="00890F63" w:rsidRDefault="004B5979" w:rsidP="00DA254D">
            <w:pPr>
              <w:pStyle w:val="TableParagraph"/>
              <w:tabs>
                <w:tab w:val="left" w:pos="1997"/>
                <w:tab w:val="left" w:pos="3896"/>
              </w:tabs>
              <w:ind w:left="57"/>
              <w:jc w:val="both"/>
            </w:pPr>
            <w:r w:rsidRPr="00890F63">
              <w:t>обстоятельства, устанавливаемые Соглашением, при этом в случае их наступления должно выполняться хотя бы одно из следующих условий:</w:t>
            </w:r>
          </w:p>
          <w:p w:rsidR="004B5979" w:rsidRPr="000E1CE4" w:rsidRDefault="00F00BFF" w:rsidP="00DA254D">
            <w:pPr>
              <w:pStyle w:val="TableParagraph"/>
              <w:tabs>
                <w:tab w:val="left" w:pos="1997"/>
                <w:tab w:val="left" w:pos="3896"/>
              </w:tabs>
              <w:ind w:left="57"/>
              <w:jc w:val="both"/>
            </w:pPr>
            <w:r w:rsidRPr="00890F63">
              <w:t>1</w:t>
            </w:r>
            <w:r w:rsidR="004B5979" w:rsidRPr="00890F63">
              <w:t xml:space="preserve">) в результате наступления такого обстоятельства Концессионер не может осуществить Создание Объекта Соглашения в установленный Соглашением срок или </w:t>
            </w:r>
            <w:r w:rsidR="004B5979" w:rsidRPr="000E1CE4">
              <w:t>оказывать Услуги Концессионера в течение периода, превышающего 90 (девяност</w:t>
            </w:r>
            <w:r w:rsidR="00922954" w:rsidRPr="000E1CE4">
              <w:t>о</w:t>
            </w:r>
            <w:r w:rsidR="004B5979" w:rsidRPr="000E1CE4">
              <w:t>) календарных дней;</w:t>
            </w:r>
          </w:p>
          <w:p w:rsidR="004B5979" w:rsidRPr="00890F63" w:rsidRDefault="00F00BFF" w:rsidP="000E1CE4">
            <w:pPr>
              <w:pStyle w:val="TableParagraph"/>
              <w:tabs>
                <w:tab w:val="left" w:pos="1997"/>
                <w:tab w:val="left" w:pos="3896"/>
              </w:tabs>
              <w:ind w:left="57"/>
              <w:jc w:val="both"/>
            </w:pPr>
            <w:r w:rsidRPr="000E1CE4">
              <w:t>2</w:t>
            </w:r>
            <w:r w:rsidR="004B5979" w:rsidRPr="000E1CE4">
              <w:t>) наступление такого обстоятельства повлекло Недополученные доходы в размере свыше 10 000 000 (</w:t>
            </w:r>
            <w:r w:rsidR="000E1CE4" w:rsidRPr="000E1CE4">
              <w:t>десять</w:t>
            </w:r>
            <w:r w:rsidR="004B5979" w:rsidRPr="000E1CE4">
              <w:t xml:space="preserve"> м</w:t>
            </w:r>
            <w:r w:rsidR="00B35326" w:rsidRPr="000E1CE4">
              <w:t>иллионов) рублей за текущий год</w:t>
            </w:r>
          </w:p>
        </w:tc>
      </w:tr>
      <w:tr w:rsidR="00C454DE" w:rsidRPr="00C92A28" w:rsidTr="00AA35B7">
        <w:trPr>
          <w:trHeight w:val="416"/>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Подготовка территории</w:t>
            </w:r>
          </w:p>
        </w:tc>
        <w:tc>
          <w:tcPr>
            <w:tcW w:w="5680" w:type="dxa"/>
            <w:gridSpan w:val="2"/>
            <w:shd w:val="clear" w:color="auto" w:fill="auto"/>
          </w:tcPr>
          <w:p w:rsidR="002B0662" w:rsidRPr="00890F63" w:rsidRDefault="002B0662" w:rsidP="00DA254D">
            <w:pPr>
              <w:pStyle w:val="TableParagraph"/>
              <w:tabs>
                <w:tab w:val="left" w:pos="1997"/>
                <w:tab w:val="left" w:pos="3896"/>
              </w:tabs>
              <w:ind w:left="57"/>
              <w:jc w:val="both"/>
              <w:rPr>
                <w:rFonts w:eastAsia="Calibri"/>
                <w:bCs/>
              </w:rPr>
            </w:pPr>
            <w:r w:rsidRPr="00890F63">
              <w:rPr>
                <w:rFonts w:eastAsia="Calibri"/>
              </w:rPr>
              <w:t xml:space="preserve">означает деятельность Концессионера по </w:t>
            </w:r>
            <w:r w:rsidRPr="00890F63">
              <w:rPr>
                <w:rFonts w:eastAsia="Calibri"/>
                <w:bCs/>
              </w:rPr>
              <w:t>подготовке территории, необходимой для Создания Объекта концессионного соглашения и осуществления деятельности, предусмотренной Концессионным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 в случае необходимости вынос или перенос коммуникаций; снос зеленых насаждений в установленном действующим законодательством порядке.</w:t>
            </w:r>
          </w:p>
          <w:p w:rsidR="00C454DE" w:rsidRPr="00890F63" w:rsidRDefault="002B0662" w:rsidP="00DA254D">
            <w:pPr>
              <w:pStyle w:val="TableParagraph"/>
              <w:tabs>
                <w:tab w:val="left" w:pos="1997"/>
                <w:tab w:val="left" w:pos="3896"/>
              </w:tabs>
              <w:ind w:left="57"/>
              <w:jc w:val="both"/>
              <w:rPr>
                <w:rFonts w:eastAsia="Calibri"/>
                <w:bCs/>
              </w:rPr>
            </w:pPr>
            <w:r w:rsidRPr="00890F63">
              <w:rPr>
                <w:rFonts w:eastAsia="Calibri"/>
                <w:bCs/>
              </w:rPr>
              <w:t>Входит в Создание Объекта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Проектная документация</w:t>
            </w:r>
          </w:p>
        </w:tc>
        <w:tc>
          <w:tcPr>
            <w:tcW w:w="5680" w:type="dxa"/>
            <w:gridSpan w:val="2"/>
            <w:shd w:val="clear" w:color="auto" w:fill="auto"/>
          </w:tcPr>
          <w:p w:rsidR="00C454DE" w:rsidRPr="00363A96" w:rsidRDefault="00BB7B37" w:rsidP="00363A96">
            <w:pPr>
              <w:pStyle w:val="TableParagraph"/>
              <w:tabs>
                <w:tab w:val="left" w:pos="1997"/>
                <w:tab w:val="left" w:pos="3896"/>
              </w:tabs>
              <w:ind w:left="57"/>
              <w:jc w:val="both"/>
              <w:rPr>
                <w:szCs w:val="20"/>
              </w:rPr>
            </w:pPr>
            <w:r w:rsidRPr="00890F63">
              <w:rPr>
                <w:rFonts w:eastAsia="Calibri"/>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w:t>
            </w:r>
            <w:r>
              <w:rPr>
                <w:rFonts w:eastAsia="Calibri"/>
              </w:rPr>
              <w:t>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Прямое соглашение</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t>означает соглашение, которое может быть заключено между Концедентом, Концессионером и Финансирующей организацией на основании части 4 статьи 5 Зак</w:t>
            </w:r>
            <w:r w:rsidR="0037709D">
              <w:t>она о концессионных соглашениях</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lastRenderedPageBreak/>
              <w:t>Рабочая документация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w:t>
            </w:r>
            <w:r w:rsidR="0037709D">
              <w:rPr>
                <w:rFonts w:eastAsia="Calibri"/>
              </w:rPr>
              <w:t>разделов Проектной документации</w:t>
            </w:r>
          </w:p>
        </w:tc>
      </w:tr>
      <w:tr w:rsidR="00C454DE" w:rsidRPr="00C92A28" w:rsidTr="00AA35B7">
        <w:trPr>
          <w:trHeight w:val="2418"/>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Создание Объекта концессионного соглашения</w:t>
            </w:r>
          </w:p>
        </w:tc>
        <w:tc>
          <w:tcPr>
            <w:tcW w:w="5680" w:type="dxa"/>
            <w:gridSpan w:val="2"/>
            <w:shd w:val="clear" w:color="auto" w:fill="auto"/>
          </w:tcPr>
          <w:p w:rsidR="00C454DE" w:rsidRPr="00890F63" w:rsidRDefault="00C454DE" w:rsidP="0037709D">
            <w:pPr>
              <w:pStyle w:val="TableParagraph"/>
              <w:tabs>
                <w:tab w:val="left" w:pos="1997"/>
                <w:tab w:val="left" w:pos="3896"/>
              </w:tabs>
              <w:ind w:left="57"/>
              <w:jc w:val="both"/>
              <w:rPr>
                <w:rFonts w:eastAsia="Calibri"/>
              </w:rPr>
            </w:pPr>
            <w:r w:rsidRPr="00890F63">
              <w:rPr>
                <w:rFonts w:eastAsia="Calibri"/>
              </w:rPr>
              <w:t xml:space="preserve">означает </w:t>
            </w:r>
            <w:r w:rsidRPr="0037709D">
              <w:rPr>
                <w:rFonts w:eastAsia="Calibri"/>
              </w:rPr>
              <w:t>Подготовку территории</w:t>
            </w:r>
            <w:r w:rsidRPr="00890F63">
              <w:rPr>
                <w:rFonts w:eastAsia="Calibri"/>
              </w:rPr>
              <w:t>, проектирование (в том числе проведении инженерных изысканий, прохождение Государственной экспертизы, государственно</w:t>
            </w:r>
            <w:r w:rsidR="0037709D">
              <w:rPr>
                <w:rFonts w:eastAsia="Calibri"/>
              </w:rPr>
              <w:t>-</w:t>
            </w:r>
            <w:r w:rsidRPr="00890F63">
              <w:rPr>
                <w:rFonts w:eastAsia="Calibri"/>
              </w:rPr>
              <w:t>экологической экспертизы Проектной документации (при необходимости), Строительство (включая разработку Рабочей документации, получение разрешения на строительство) Объекта концессионного соглашения, его оснащение обор</w:t>
            </w:r>
            <w:r w:rsidR="0037709D">
              <w:rPr>
                <w:rFonts w:eastAsia="Calibri"/>
              </w:rPr>
              <w:t>удованием и ввод в эксплуатацию</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Стороны</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Концедента и Концессионе</w:t>
            </w:r>
            <w:r w:rsidR="0037709D">
              <w:rPr>
                <w:rFonts w:eastAsia="Calibri"/>
              </w:rPr>
              <w:t>ра по Концессионному соглашению</w:t>
            </w:r>
          </w:p>
        </w:tc>
      </w:tr>
      <w:tr w:rsidR="00C454DE" w:rsidRPr="00C92A28" w:rsidTr="00AA35B7">
        <w:trPr>
          <w:trHeight w:val="353"/>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Строительство</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комплекс работ по строительству Объекта концессионного соглашения (созданию зданий строений, сооружений) в соответствии с Градостроительны</w:t>
            </w:r>
            <w:r w:rsidR="0037709D">
              <w:rPr>
                <w:rFonts w:eastAsia="Calibri"/>
              </w:rPr>
              <w:t>м кодексом Российской Федерации</w:t>
            </w:r>
          </w:p>
        </w:tc>
      </w:tr>
      <w:tr w:rsidR="00D87CE6" w:rsidRPr="00C92A28" w:rsidTr="00AA35B7">
        <w:trPr>
          <w:gridBefore w:val="1"/>
          <w:wBefore w:w="10" w:type="dxa"/>
          <w:trHeight w:val="879"/>
        </w:trPr>
        <w:tc>
          <w:tcPr>
            <w:tcW w:w="4146" w:type="dxa"/>
            <w:gridSpan w:val="2"/>
            <w:shd w:val="clear" w:color="auto" w:fill="auto"/>
          </w:tcPr>
          <w:p w:rsidR="00D87CE6" w:rsidRPr="00890F63" w:rsidRDefault="00D87CE6" w:rsidP="00DA254D">
            <w:pPr>
              <w:pStyle w:val="TableParagraph"/>
              <w:tabs>
                <w:tab w:val="left" w:pos="1051"/>
              </w:tabs>
              <w:ind w:left="57"/>
              <w:rPr>
                <w:rFonts w:eastAsia="Calibri"/>
              </w:rPr>
            </w:pPr>
            <w:r w:rsidRPr="00890F63">
              <w:rPr>
                <w:rFonts w:eastAsia="Calibri"/>
              </w:rPr>
              <w:t>Субсидии в целях возмещения Недополученных доходов</w:t>
            </w:r>
          </w:p>
        </w:tc>
        <w:tc>
          <w:tcPr>
            <w:tcW w:w="5670" w:type="dxa"/>
            <w:shd w:val="clear" w:color="auto" w:fill="auto"/>
          </w:tcPr>
          <w:p w:rsidR="00D87CE6" w:rsidRPr="00C92A28" w:rsidRDefault="00D87CE6" w:rsidP="00DA254D">
            <w:pPr>
              <w:pStyle w:val="TableParagraph"/>
              <w:tabs>
                <w:tab w:val="left" w:pos="1997"/>
                <w:tab w:val="left" w:pos="3896"/>
              </w:tabs>
              <w:ind w:left="57"/>
              <w:jc w:val="both"/>
              <w:rPr>
                <w:rFonts w:eastAsia="Calibri"/>
              </w:rPr>
            </w:pPr>
            <w:r w:rsidRPr="00C92A28">
              <w:rPr>
                <w:rFonts w:eastAsia="Calibri"/>
              </w:rPr>
              <w:t>означает субсидии, предоставляемые Концедентом Концессионеру за счет средств</w:t>
            </w:r>
            <w:r w:rsidR="00F3387B">
              <w:rPr>
                <w:rFonts w:eastAsia="Calibri"/>
              </w:rPr>
              <w:t xml:space="preserve"> областного</w:t>
            </w:r>
            <w:r w:rsidRPr="00C92A28">
              <w:rPr>
                <w:rFonts w:eastAsia="Calibri"/>
              </w:rPr>
              <w:t xml:space="preserve"> бюджета </w:t>
            </w:r>
            <w:r w:rsidRPr="00C92A28">
              <w:rPr>
                <w:rFonts w:eastAsia="Calibri"/>
                <w:spacing w:val="-1"/>
              </w:rPr>
              <w:t>Новосибирской области</w:t>
            </w:r>
            <w:r w:rsidRPr="00C92A28">
              <w:rPr>
                <w:rFonts w:eastAsia="Calibri"/>
              </w:rPr>
              <w:t xml:space="preserve"> в целях возмещения Недополученных доходов, которые возникают у Концессионера при</w:t>
            </w:r>
            <w:r w:rsidRPr="00C92A28">
              <w:rPr>
                <w:rFonts w:eastAsia="Calibri"/>
                <w:spacing w:val="-13"/>
              </w:rPr>
              <w:t xml:space="preserve"> </w:t>
            </w:r>
            <w:r w:rsidR="0037709D">
              <w:rPr>
                <w:rFonts w:eastAsia="Calibri"/>
              </w:rPr>
              <w:t>оказании Услуг Концессионера</w:t>
            </w:r>
          </w:p>
        </w:tc>
      </w:tr>
      <w:tr w:rsidR="00D87CE6" w:rsidRPr="00C92A28" w:rsidTr="00AA35B7">
        <w:trPr>
          <w:gridBefore w:val="1"/>
          <w:wBefore w:w="10" w:type="dxa"/>
          <w:trHeight w:val="879"/>
        </w:trPr>
        <w:tc>
          <w:tcPr>
            <w:tcW w:w="4146" w:type="dxa"/>
            <w:gridSpan w:val="2"/>
            <w:shd w:val="clear" w:color="auto" w:fill="auto"/>
          </w:tcPr>
          <w:p w:rsidR="00D87CE6" w:rsidRPr="00890F63" w:rsidRDefault="00D87CE6" w:rsidP="00DA254D">
            <w:pPr>
              <w:pStyle w:val="TableParagraph"/>
              <w:tabs>
                <w:tab w:val="left" w:pos="1051"/>
              </w:tabs>
              <w:ind w:left="57"/>
              <w:rPr>
                <w:rFonts w:eastAsia="Calibri"/>
              </w:rPr>
            </w:pPr>
            <w:r w:rsidRPr="00890F63">
              <w:rPr>
                <w:rFonts w:eastAsia="Calibri"/>
              </w:rPr>
              <w:t>Субсидии в целях возмещения затрат в связи с оказанием Услуг Концессионера</w:t>
            </w:r>
          </w:p>
        </w:tc>
        <w:tc>
          <w:tcPr>
            <w:tcW w:w="5670" w:type="dxa"/>
            <w:shd w:val="clear" w:color="auto" w:fill="auto"/>
          </w:tcPr>
          <w:p w:rsidR="00D87CE6" w:rsidRPr="00C92A28" w:rsidRDefault="00D87CE6" w:rsidP="00DA254D">
            <w:pPr>
              <w:pStyle w:val="TableParagraph"/>
              <w:tabs>
                <w:tab w:val="left" w:pos="1997"/>
                <w:tab w:val="left" w:pos="3896"/>
              </w:tabs>
              <w:ind w:left="57"/>
              <w:jc w:val="both"/>
              <w:rPr>
                <w:rFonts w:eastAsia="Calibri"/>
              </w:rPr>
            </w:pPr>
            <w:r w:rsidRPr="00C92A28">
              <w:rPr>
                <w:rFonts w:eastAsia="Calibri"/>
              </w:rPr>
              <w:t>означает субсидии, предоставляемые Концедентом Концессионеру за счет средств</w:t>
            </w:r>
            <w:r w:rsidR="00F3387B">
              <w:rPr>
                <w:rFonts w:eastAsia="Calibri"/>
              </w:rPr>
              <w:t xml:space="preserve"> областного</w:t>
            </w:r>
            <w:r w:rsidRPr="00C92A28">
              <w:rPr>
                <w:rFonts w:eastAsia="Calibri"/>
              </w:rPr>
              <w:t xml:space="preserve"> бюджета </w:t>
            </w:r>
            <w:r w:rsidRPr="00C92A28">
              <w:rPr>
                <w:rFonts w:eastAsia="Calibri"/>
                <w:spacing w:val="-1"/>
              </w:rPr>
              <w:t>Новосибирской области</w:t>
            </w:r>
            <w:r w:rsidRPr="00C92A28">
              <w:rPr>
                <w:rFonts w:eastAsia="Calibri"/>
              </w:rPr>
              <w:t xml:space="preserve"> в целях возмещения затрат в связи с оказанием Услуг Концессионера, которые возникают у Концессионера в результате наступления Обстоятельства непреодолимой силы и в случае</w:t>
            </w:r>
            <w:r w:rsidR="0037709D">
              <w:rPr>
                <w:rFonts w:eastAsia="Calibri"/>
              </w:rPr>
              <w:t>,</w:t>
            </w:r>
            <w:r w:rsidRPr="00C92A28">
              <w:rPr>
                <w:rFonts w:eastAsia="Calibri"/>
              </w:rPr>
              <w:t xml:space="preserve"> если указанные затраты не были возмещены посредством предоставления Субсидии в целях возмещения Недополу</w:t>
            </w:r>
            <w:r w:rsidR="0037709D">
              <w:rPr>
                <w:rFonts w:eastAsia="Calibri"/>
              </w:rPr>
              <w:t>ченных доходов или иным образом</w:t>
            </w:r>
          </w:p>
        </w:tc>
      </w:tr>
      <w:tr w:rsidR="00C454DE" w:rsidRPr="00C92A28" w:rsidTr="00AA35B7">
        <w:trPr>
          <w:trHeight w:val="851"/>
        </w:trPr>
        <w:tc>
          <w:tcPr>
            <w:tcW w:w="4146" w:type="dxa"/>
            <w:gridSpan w:val="2"/>
            <w:shd w:val="clear" w:color="auto" w:fill="auto"/>
          </w:tcPr>
          <w:p w:rsidR="00C454DE" w:rsidRPr="00890F63" w:rsidRDefault="00C454DE" w:rsidP="00BA5EBD">
            <w:pPr>
              <w:pStyle w:val="TableParagraph"/>
              <w:tabs>
                <w:tab w:val="left" w:pos="42"/>
              </w:tabs>
              <w:spacing w:before="120" w:after="120"/>
              <w:ind w:left="42" w:right="-9"/>
              <w:rPr>
                <w:rFonts w:eastAsia="Calibri"/>
              </w:rPr>
            </w:pPr>
            <w:r w:rsidRPr="00890F63">
              <w:rPr>
                <w:rFonts w:eastAsia="Calibri"/>
              </w:rPr>
              <w:t xml:space="preserve">Сумма возмещения при </w:t>
            </w:r>
            <w:r w:rsidR="00BA5EBD" w:rsidRPr="00890F63">
              <w:rPr>
                <w:rFonts w:eastAsia="Calibri"/>
              </w:rPr>
              <w:t>досрочном расторжении</w:t>
            </w:r>
            <w:r w:rsidRPr="00890F63">
              <w:rPr>
                <w:rFonts w:eastAsia="Calibri"/>
              </w:rPr>
              <w:t xml:space="preserve"> Соглашения</w:t>
            </w:r>
            <w:r w:rsidR="000814F7" w:rsidRPr="00890F63">
              <w:rPr>
                <w:rFonts w:eastAsia="Calibri"/>
              </w:rPr>
              <w:t xml:space="preserve"> (</w:t>
            </w:r>
            <w:r w:rsidRPr="00890F63">
              <w:rPr>
                <w:rFonts w:eastAsia="Calibri"/>
              </w:rPr>
              <w:t>Сумма возмещения</w:t>
            </w:r>
            <w:r w:rsidR="000814F7" w:rsidRPr="00890F63">
              <w:rPr>
                <w:rFonts w:eastAsia="Calibri"/>
              </w:rPr>
              <w:t>)</w:t>
            </w:r>
          </w:p>
        </w:tc>
        <w:tc>
          <w:tcPr>
            <w:tcW w:w="5680" w:type="dxa"/>
            <w:gridSpan w:val="2"/>
            <w:shd w:val="clear" w:color="auto" w:fill="auto"/>
          </w:tcPr>
          <w:p w:rsidR="00BA5EBD"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сумму, подлежащую выплате в пользу Сторон в случае, если</w:t>
            </w:r>
            <w:r w:rsidR="00BA5EBD" w:rsidRPr="00890F63">
              <w:rPr>
                <w:rFonts w:eastAsia="Calibri"/>
              </w:rPr>
              <w:t xml:space="preserve"> прекращение Соглашения связано с его досрочным расторжением на основании:</w:t>
            </w:r>
          </w:p>
          <w:p w:rsidR="00BA5EBD" w:rsidRPr="00890F63" w:rsidRDefault="00BA5EBD" w:rsidP="00DA254D">
            <w:pPr>
              <w:pStyle w:val="TableParagraph"/>
              <w:tabs>
                <w:tab w:val="left" w:pos="1997"/>
                <w:tab w:val="left" w:pos="3896"/>
              </w:tabs>
              <w:ind w:left="57"/>
              <w:jc w:val="both"/>
              <w:rPr>
                <w:rFonts w:eastAsia="Calibri"/>
              </w:rPr>
            </w:pPr>
            <w:r w:rsidRPr="00890F63">
              <w:rPr>
                <w:rFonts w:eastAsia="Calibri"/>
              </w:rPr>
              <w:t>1)</w:t>
            </w:r>
            <w:r w:rsidRPr="00890F63">
              <w:rPr>
                <w:rFonts w:eastAsia="Calibri"/>
                <w:lang w:val="en-US"/>
              </w:rPr>
              <w:t> </w:t>
            </w:r>
            <w:r w:rsidRPr="00890F63">
              <w:rPr>
                <w:rFonts w:eastAsia="Calibri"/>
              </w:rPr>
              <w:t>решения суда;</w:t>
            </w:r>
          </w:p>
          <w:p w:rsidR="00C454DE" w:rsidRPr="00890F63" w:rsidRDefault="00BA5EBD" w:rsidP="00DA254D">
            <w:pPr>
              <w:pStyle w:val="TableParagraph"/>
              <w:tabs>
                <w:tab w:val="left" w:pos="1997"/>
                <w:tab w:val="left" w:pos="3896"/>
              </w:tabs>
              <w:ind w:left="57"/>
              <w:jc w:val="both"/>
              <w:rPr>
                <w:rFonts w:eastAsia="Calibri"/>
              </w:rPr>
            </w:pPr>
            <w:r w:rsidRPr="00890F63">
              <w:rPr>
                <w:rFonts w:eastAsia="Calibri"/>
              </w:rPr>
              <w:t>2)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w:t>
            </w:r>
            <w:r w:rsidR="0037709D">
              <w:rPr>
                <w:rFonts w:eastAsia="Calibri"/>
              </w:rPr>
              <w:t xml:space="preserve"> угроза причинения такого вреда</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Тариф концессионера</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тариф (тарифы) на Услуги Концессионера, который устана</w:t>
            </w:r>
            <w:r w:rsidR="0037709D">
              <w:rPr>
                <w:rFonts w:eastAsia="Calibri"/>
              </w:rPr>
              <w:t>вливается Органом регулирования</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Те</w:t>
            </w:r>
            <w:r w:rsidR="000814F7" w:rsidRPr="00890F63">
              <w:rPr>
                <w:rFonts w:eastAsia="Calibri"/>
              </w:rPr>
              <w:t>хнико-экономические показатели (</w:t>
            </w:r>
            <w:r w:rsidRPr="00890F63">
              <w:rPr>
                <w:rFonts w:eastAsia="Calibri"/>
              </w:rPr>
              <w:t>ТЭП</w:t>
            </w:r>
            <w:r w:rsidR="000814F7" w:rsidRPr="00890F63">
              <w:rPr>
                <w:rFonts w:eastAsia="Calibri"/>
              </w:rPr>
              <w:t>)</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требования (спецификацию) к Объекту Соглашения, </w:t>
            </w:r>
            <w:r w:rsidRPr="00890F63">
              <w:rPr>
                <w:rFonts w:eastAsia="Calibri"/>
                <w:spacing w:val="-1"/>
              </w:rPr>
              <w:t xml:space="preserve">которые </w:t>
            </w:r>
            <w:r w:rsidRPr="00890F63">
              <w:rPr>
                <w:rFonts w:eastAsia="Calibri"/>
              </w:rPr>
              <w:t xml:space="preserve">устанавливаются </w:t>
            </w:r>
            <w:r w:rsidR="00DA254D">
              <w:rPr>
                <w:rFonts w:eastAsia="Calibri"/>
              </w:rPr>
              <w:t>п</w:t>
            </w:r>
            <w:r w:rsidRPr="00890F63">
              <w:rPr>
                <w:rFonts w:eastAsia="Calibri"/>
              </w:rPr>
              <w:t xml:space="preserve">риложением </w:t>
            </w:r>
            <w:r w:rsidR="00DA254D">
              <w:rPr>
                <w:rFonts w:eastAsia="Calibri"/>
              </w:rPr>
              <w:t>№ </w:t>
            </w:r>
            <w:r w:rsidR="0037709D">
              <w:rPr>
                <w:rFonts w:eastAsia="Calibri"/>
              </w:rPr>
              <w:t>2 к Условиям</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lastRenderedPageBreak/>
              <w:t>ТКО</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w:t>
            </w:r>
            <w:r w:rsidR="0037709D">
              <w:rPr>
                <w:rFonts w:eastAsia="Calibri"/>
              </w:rPr>
              <w:t>ает твердые коммунальные отходы</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Условия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w:t>
            </w:r>
            <w:r w:rsidR="000D658E" w:rsidRPr="000D658E">
              <w:rPr>
                <w:rFonts w:eastAsia="Calibri"/>
              </w:rPr>
              <w:t>условия К</w:t>
            </w:r>
            <w:r w:rsidRPr="000D658E">
              <w:rPr>
                <w:rFonts w:eastAsia="Calibri"/>
              </w:rPr>
              <w:t>онцессионного соглашения</w:t>
            </w:r>
            <w:r w:rsidRPr="00890F63">
              <w:rPr>
                <w:rFonts w:eastAsia="Calibri"/>
              </w:rPr>
              <w:t xml:space="preserve"> в отношении </w:t>
            </w:r>
            <w:r w:rsidR="00E57DE5" w:rsidRPr="00E57DE5">
              <w:rPr>
                <w:rFonts w:eastAsia="Calibri"/>
              </w:rPr>
              <w:t xml:space="preserve">создания и эксплуатации </w:t>
            </w:r>
            <w:r w:rsidR="003D083A">
              <w:rPr>
                <w:rFonts w:eastAsia="Calibri"/>
              </w:rPr>
              <w:t>комплексного районного полигона с мусоросортировочной линией в Тогучинском районе</w:t>
            </w:r>
            <w:r w:rsidR="00E57DE5" w:rsidRPr="00E57DE5">
              <w:rPr>
                <w:rFonts w:eastAsia="Calibri"/>
              </w:rPr>
              <w:t xml:space="preserve"> Новосибирской области</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Услуги Концессионера</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деятельность Концессионера по обработке, обезвреживанию и захоронению ТКО по регулируемым ценам (Тарифу Концессионера) с использованием Об</w:t>
            </w:r>
            <w:r w:rsidR="0037709D">
              <w:rPr>
                <w:rFonts w:eastAsia="Calibri"/>
              </w:rPr>
              <w:t>ъекта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Участок Объекта Соглашения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элемент Объекта концессионного соглашения в соответствии с </w:t>
            </w:r>
            <w:r w:rsidR="00DA254D">
              <w:rPr>
                <w:rFonts w:eastAsia="Calibri"/>
              </w:rPr>
              <w:t>п</w:t>
            </w:r>
            <w:r w:rsidRPr="00890F63">
              <w:rPr>
                <w:rFonts w:eastAsia="Calibri"/>
              </w:rPr>
              <w:t>риложением</w:t>
            </w:r>
            <w:r w:rsidR="00DA254D">
              <w:rPr>
                <w:rFonts w:eastAsia="Calibri"/>
              </w:rPr>
              <w:t> № </w:t>
            </w:r>
            <w:r w:rsidRPr="00890F63">
              <w:rPr>
                <w:rFonts w:eastAsia="Calibri"/>
              </w:rPr>
              <w:t>2 к Условиям, который может быть введен в эксплуатацию отдельно от других объектов имущества в составе Об</w:t>
            </w:r>
            <w:r w:rsidR="00DA254D">
              <w:rPr>
                <w:rFonts w:eastAsia="Calibri"/>
              </w:rPr>
              <w:t>ъекта концессионного соглашения</w:t>
            </w:r>
          </w:p>
        </w:tc>
      </w:tr>
    </w:tbl>
    <w:p w:rsidR="009F1E14" w:rsidRPr="00C92A28" w:rsidRDefault="009F1E14" w:rsidP="009F1E14">
      <w:pPr>
        <w:pStyle w:val="TableParagraph"/>
        <w:tabs>
          <w:tab w:val="left" w:pos="42"/>
        </w:tabs>
        <w:spacing w:before="120" w:after="120"/>
        <w:ind w:left="42" w:right="-9"/>
        <w:rPr>
          <w:rFonts w:eastAsia="Calibri"/>
          <w:b/>
        </w:rPr>
        <w:sectPr w:rsidR="009F1E14" w:rsidRPr="00C92A28" w:rsidSect="00747C72">
          <w:headerReference w:type="default" r:id="rId8"/>
          <w:headerReference w:type="first" r:id="rId9"/>
          <w:type w:val="continuous"/>
          <w:pgSz w:w="11906" w:h="16838"/>
          <w:pgMar w:top="1134" w:right="567" w:bottom="1134" w:left="1418" w:header="709" w:footer="709" w:gutter="0"/>
          <w:pgNumType w:start="1"/>
          <w:cols w:space="708"/>
          <w:titlePg/>
          <w:docGrid w:linePitch="360"/>
        </w:sectPr>
      </w:pPr>
      <w:bookmarkStart w:id="3" w:name="_Ref87291553"/>
    </w:p>
    <w:bookmarkEnd w:id="3"/>
    <w:p w:rsidR="00E85E8C" w:rsidRPr="00C92A28" w:rsidRDefault="00E85E8C" w:rsidP="001E7C75">
      <w:pPr>
        <w:widowControl w:val="0"/>
        <w:spacing w:after="0" w:line="240" w:lineRule="auto"/>
        <w:ind w:right="-11" w:firstLine="709"/>
        <w:jc w:val="both"/>
        <w:rPr>
          <w:rFonts w:ascii="Times New Roman" w:hAnsi="Times New Roman"/>
          <w:sz w:val="28"/>
          <w:szCs w:val="28"/>
          <w:lang w:bidi="ru-RU"/>
        </w:rPr>
      </w:pPr>
    </w:p>
    <w:p w:rsidR="009F1E14" w:rsidRPr="00E66B41" w:rsidRDefault="009F1E14" w:rsidP="001E7C75">
      <w:pPr>
        <w:widowControl w:val="0"/>
        <w:spacing w:after="0" w:line="240" w:lineRule="auto"/>
        <w:ind w:right="-11" w:firstLine="709"/>
        <w:jc w:val="both"/>
        <w:rPr>
          <w:rFonts w:ascii="Times New Roman" w:hAnsi="Times New Roman"/>
          <w:sz w:val="28"/>
          <w:szCs w:val="28"/>
          <w:lang w:bidi="ru-RU"/>
        </w:rPr>
      </w:pPr>
      <w:r w:rsidRPr="00E66B41">
        <w:rPr>
          <w:rFonts w:ascii="Times New Roman" w:hAnsi="Times New Roman"/>
          <w:sz w:val="28"/>
          <w:szCs w:val="28"/>
          <w:lang w:bidi="ru-RU"/>
        </w:rPr>
        <w:t>Вышеуказанные термины и их определения не распространяют своего действия на проект Концессионного соглашения</w:t>
      </w:r>
      <w:r w:rsidR="00E66B41" w:rsidRPr="00E66B41">
        <w:rPr>
          <w:rFonts w:ascii="Times New Roman" w:hAnsi="Times New Roman"/>
          <w:sz w:val="28"/>
          <w:szCs w:val="28"/>
          <w:lang w:bidi="ru-RU"/>
        </w:rPr>
        <w:t xml:space="preserve"> в отношении создания и эксплуатации </w:t>
      </w:r>
      <w:r w:rsidR="003D083A">
        <w:rPr>
          <w:rFonts w:ascii="Times New Roman" w:hAnsi="Times New Roman"/>
          <w:sz w:val="28"/>
          <w:szCs w:val="28"/>
          <w:lang w:bidi="ru-RU"/>
        </w:rPr>
        <w:t>комплексного районного полигона с мусоросортировочной линией в Тогучинском районе</w:t>
      </w:r>
      <w:r w:rsidR="00E66B41" w:rsidRPr="00E66B41">
        <w:rPr>
          <w:rFonts w:ascii="Times New Roman" w:hAnsi="Times New Roman"/>
          <w:sz w:val="28"/>
          <w:szCs w:val="28"/>
          <w:lang w:bidi="ru-RU"/>
        </w:rPr>
        <w:t xml:space="preserve"> Новосибирской области</w:t>
      </w:r>
      <w:r w:rsidR="00954D37" w:rsidRPr="00E66B41">
        <w:rPr>
          <w:rFonts w:ascii="Times New Roman" w:hAnsi="Times New Roman"/>
          <w:sz w:val="28"/>
          <w:szCs w:val="28"/>
          <w:lang w:bidi="ru-RU"/>
        </w:rPr>
        <w:t>.</w:t>
      </w:r>
    </w:p>
    <w:p w:rsidR="00954D37" w:rsidRPr="00C92A28" w:rsidRDefault="00954D37" w:rsidP="001E7C75">
      <w:pPr>
        <w:widowControl w:val="0"/>
        <w:spacing w:after="0" w:line="240" w:lineRule="auto"/>
        <w:ind w:right="-11" w:firstLine="709"/>
        <w:jc w:val="both"/>
        <w:rPr>
          <w:rFonts w:ascii="Times New Roman" w:hAnsi="Times New Roman"/>
          <w:sz w:val="28"/>
          <w:szCs w:val="28"/>
          <w:lang w:bidi="ru-RU"/>
        </w:rPr>
      </w:pPr>
      <w:r w:rsidRPr="00E66B41">
        <w:rPr>
          <w:rFonts w:ascii="Times New Roman" w:hAnsi="Times New Roman"/>
          <w:sz w:val="28"/>
          <w:szCs w:val="28"/>
          <w:lang w:bidi="ru-RU"/>
        </w:rPr>
        <w:t xml:space="preserve">Используемые в проекте Концессионного соглашения </w:t>
      </w:r>
      <w:r w:rsidR="00E66B41" w:rsidRPr="00E66B41">
        <w:rPr>
          <w:rFonts w:ascii="Times New Roman" w:hAnsi="Times New Roman"/>
          <w:sz w:val="28"/>
          <w:szCs w:val="28"/>
          <w:lang w:bidi="ru-RU"/>
        </w:rPr>
        <w:t xml:space="preserve">в отношении создания и эксплуатации </w:t>
      </w:r>
      <w:r w:rsidR="003D083A">
        <w:rPr>
          <w:rFonts w:ascii="Times New Roman" w:hAnsi="Times New Roman"/>
          <w:sz w:val="28"/>
          <w:szCs w:val="28"/>
          <w:lang w:bidi="ru-RU"/>
        </w:rPr>
        <w:t>комплексного районного полигона с мусоросортировочной линией в Тогучинском районе</w:t>
      </w:r>
      <w:r w:rsidR="00E66B41" w:rsidRPr="00E66B41">
        <w:rPr>
          <w:rFonts w:ascii="Times New Roman" w:hAnsi="Times New Roman"/>
          <w:sz w:val="28"/>
          <w:szCs w:val="28"/>
          <w:lang w:bidi="ru-RU"/>
        </w:rPr>
        <w:t xml:space="preserve"> Новосибирской области </w:t>
      </w:r>
      <w:r w:rsidRPr="00E66B41">
        <w:rPr>
          <w:rFonts w:ascii="Times New Roman" w:hAnsi="Times New Roman"/>
          <w:sz w:val="28"/>
          <w:szCs w:val="28"/>
          <w:lang w:bidi="ru-RU"/>
        </w:rPr>
        <w:t xml:space="preserve">термины и определения определяются Концессионным соглашением </w:t>
      </w:r>
      <w:r w:rsidR="00E66B41" w:rsidRPr="00E66B41">
        <w:rPr>
          <w:rFonts w:ascii="Times New Roman" w:hAnsi="Times New Roman"/>
          <w:sz w:val="28"/>
          <w:szCs w:val="28"/>
          <w:lang w:bidi="ru-RU"/>
        </w:rPr>
        <w:t xml:space="preserve">в отношении создания и эксплуатации </w:t>
      </w:r>
      <w:r w:rsidR="003D083A">
        <w:rPr>
          <w:rFonts w:ascii="Times New Roman" w:hAnsi="Times New Roman"/>
          <w:sz w:val="28"/>
          <w:szCs w:val="28"/>
          <w:lang w:bidi="ru-RU"/>
        </w:rPr>
        <w:t>комплексного районного полигона с мусоросортировочной линией в Тогучинском районе</w:t>
      </w:r>
      <w:r w:rsidR="00E66B41" w:rsidRPr="00E66B41">
        <w:rPr>
          <w:rFonts w:ascii="Times New Roman" w:hAnsi="Times New Roman"/>
          <w:sz w:val="28"/>
          <w:szCs w:val="28"/>
          <w:lang w:bidi="ru-RU"/>
        </w:rPr>
        <w:t xml:space="preserve"> Новосибирской области</w:t>
      </w:r>
      <w:r w:rsidR="00D03FF8" w:rsidRPr="00E66B41">
        <w:rPr>
          <w:rFonts w:ascii="Times New Roman" w:hAnsi="Times New Roman"/>
          <w:sz w:val="28"/>
          <w:szCs w:val="28"/>
          <w:lang w:bidi="ru-RU"/>
        </w:rPr>
        <w:t>.</w:t>
      </w:r>
    </w:p>
    <w:p w:rsidR="00D03FF8" w:rsidRPr="00C92A28" w:rsidRDefault="00D03FF8" w:rsidP="001E7C75">
      <w:pPr>
        <w:widowControl w:val="0"/>
        <w:spacing w:after="0" w:line="240" w:lineRule="auto"/>
        <w:ind w:right="-11" w:firstLine="709"/>
        <w:jc w:val="both"/>
        <w:rPr>
          <w:rFonts w:ascii="Times New Roman" w:hAnsi="Times New Roman"/>
          <w:sz w:val="28"/>
          <w:szCs w:val="28"/>
          <w:lang w:bidi="ru-RU"/>
        </w:rPr>
      </w:pPr>
      <w:r w:rsidRPr="00C92A28">
        <w:rPr>
          <w:rFonts w:ascii="Times New Roman" w:hAnsi="Times New Roman"/>
          <w:sz w:val="28"/>
          <w:szCs w:val="28"/>
          <w:lang w:bidi="ru-RU"/>
        </w:rPr>
        <w:t xml:space="preserve">В случае несоответствия термина и его определения, установленного настоящим </w:t>
      </w:r>
      <w:r w:rsidR="0037709D">
        <w:rPr>
          <w:rFonts w:ascii="Times New Roman" w:hAnsi="Times New Roman"/>
          <w:sz w:val="28"/>
          <w:szCs w:val="28"/>
          <w:lang w:bidi="ru-RU"/>
        </w:rPr>
        <w:t>п</w:t>
      </w:r>
      <w:r w:rsidRPr="00C92A28">
        <w:rPr>
          <w:rFonts w:ascii="Times New Roman" w:hAnsi="Times New Roman"/>
          <w:sz w:val="28"/>
          <w:szCs w:val="28"/>
          <w:lang w:bidi="ru-RU"/>
        </w:rPr>
        <w:t>риложением</w:t>
      </w:r>
      <w:r w:rsidR="0037709D">
        <w:rPr>
          <w:rFonts w:ascii="Times New Roman" w:hAnsi="Times New Roman"/>
          <w:sz w:val="28"/>
          <w:szCs w:val="28"/>
          <w:lang w:bidi="ru-RU"/>
        </w:rPr>
        <w:t>,</w:t>
      </w:r>
      <w:r w:rsidRPr="00C92A28">
        <w:rPr>
          <w:rFonts w:ascii="Times New Roman" w:hAnsi="Times New Roman"/>
          <w:sz w:val="28"/>
          <w:szCs w:val="28"/>
          <w:lang w:bidi="ru-RU"/>
        </w:rPr>
        <w:t xml:space="preserve"> Законодательству, </w:t>
      </w:r>
      <w:r w:rsidRPr="00922954">
        <w:rPr>
          <w:rFonts w:ascii="Times New Roman" w:hAnsi="Times New Roman"/>
          <w:sz w:val="28"/>
          <w:szCs w:val="28"/>
          <w:lang w:bidi="ru-RU"/>
        </w:rPr>
        <w:t>неу</w:t>
      </w:r>
      <w:r w:rsidR="0037709D" w:rsidRPr="00922954">
        <w:rPr>
          <w:rFonts w:ascii="Times New Roman" w:hAnsi="Times New Roman"/>
          <w:sz w:val="28"/>
          <w:szCs w:val="28"/>
          <w:lang w:bidi="ru-RU"/>
        </w:rPr>
        <w:t>становления</w:t>
      </w:r>
      <w:r w:rsidR="0037709D">
        <w:rPr>
          <w:rFonts w:ascii="Times New Roman" w:hAnsi="Times New Roman"/>
          <w:sz w:val="28"/>
          <w:szCs w:val="28"/>
          <w:lang w:bidi="ru-RU"/>
        </w:rPr>
        <w:t xml:space="preserve"> определения термина</w:t>
      </w:r>
      <w:r w:rsidRPr="00C92A28">
        <w:rPr>
          <w:rFonts w:ascii="Times New Roman" w:hAnsi="Times New Roman"/>
          <w:sz w:val="28"/>
          <w:szCs w:val="28"/>
          <w:lang w:bidi="ru-RU"/>
        </w:rPr>
        <w:t xml:space="preserve"> надлежит руководствоваться действующим Законодательством.</w:t>
      </w:r>
    </w:p>
    <w:p w:rsidR="00954D37" w:rsidRDefault="00954D37" w:rsidP="00890F63">
      <w:pPr>
        <w:widowControl w:val="0"/>
        <w:spacing w:after="0" w:line="240" w:lineRule="auto"/>
        <w:ind w:right="-11"/>
        <w:jc w:val="center"/>
        <w:rPr>
          <w:rFonts w:ascii="Times New Roman" w:hAnsi="Times New Roman"/>
          <w:sz w:val="28"/>
          <w:szCs w:val="28"/>
          <w:lang w:bidi="ru-RU"/>
        </w:rPr>
      </w:pPr>
    </w:p>
    <w:p w:rsidR="00890F63" w:rsidRDefault="00890F63" w:rsidP="00890F63">
      <w:pPr>
        <w:widowControl w:val="0"/>
        <w:spacing w:after="0" w:line="240" w:lineRule="auto"/>
        <w:ind w:right="-11"/>
        <w:jc w:val="center"/>
        <w:rPr>
          <w:rFonts w:ascii="Times New Roman" w:hAnsi="Times New Roman"/>
          <w:sz w:val="28"/>
          <w:szCs w:val="28"/>
          <w:lang w:bidi="ru-RU"/>
        </w:rPr>
      </w:pPr>
    </w:p>
    <w:p w:rsidR="00890F63" w:rsidRDefault="00890F63" w:rsidP="00890F63">
      <w:pPr>
        <w:widowControl w:val="0"/>
        <w:spacing w:after="0" w:line="240" w:lineRule="auto"/>
        <w:ind w:right="-11"/>
        <w:jc w:val="center"/>
        <w:rPr>
          <w:rFonts w:ascii="Times New Roman" w:hAnsi="Times New Roman"/>
          <w:sz w:val="28"/>
          <w:szCs w:val="28"/>
          <w:lang w:bidi="ru-RU"/>
        </w:rPr>
      </w:pPr>
    </w:p>
    <w:p w:rsidR="00890F63" w:rsidRPr="00C92A28" w:rsidRDefault="00890F63" w:rsidP="00890F63">
      <w:pPr>
        <w:widowControl w:val="0"/>
        <w:spacing w:after="0" w:line="240" w:lineRule="auto"/>
        <w:ind w:right="-11"/>
        <w:jc w:val="center"/>
        <w:rPr>
          <w:rFonts w:ascii="Times New Roman" w:hAnsi="Times New Roman"/>
          <w:sz w:val="28"/>
          <w:szCs w:val="28"/>
          <w:lang w:bidi="ru-RU"/>
        </w:rPr>
      </w:pPr>
      <w:r>
        <w:rPr>
          <w:rFonts w:ascii="Times New Roman" w:hAnsi="Times New Roman"/>
          <w:sz w:val="28"/>
          <w:szCs w:val="28"/>
          <w:lang w:bidi="ru-RU"/>
        </w:rPr>
        <w:t>_________</w:t>
      </w:r>
    </w:p>
    <w:sectPr w:rsidR="00890F63" w:rsidRPr="00C92A28" w:rsidSect="00792ED8">
      <w:headerReference w:type="default" r:id="rId10"/>
      <w:type w:val="continuous"/>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40" w:rsidRPr="00E94D78" w:rsidRDefault="007E1440" w:rsidP="00E94D78">
      <w:pPr>
        <w:pStyle w:val="CM66"/>
        <w:spacing w:after="0"/>
        <w:rPr>
          <w:rFonts w:ascii="Calibri" w:hAnsi="Calibri"/>
          <w:sz w:val="22"/>
          <w:szCs w:val="22"/>
        </w:rPr>
      </w:pPr>
      <w:r>
        <w:separator/>
      </w:r>
    </w:p>
  </w:endnote>
  <w:endnote w:type="continuationSeparator" w:id="0">
    <w:p w:rsidR="007E1440" w:rsidRPr="00E94D78" w:rsidRDefault="007E1440"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40" w:rsidRPr="00E94D78" w:rsidRDefault="007E1440" w:rsidP="00E94D78">
      <w:pPr>
        <w:pStyle w:val="CM66"/>
        <w:spacing w:after="0"/>
        <w:rPr>
          <w:rFonts w:ascii="Calibri" w:hAnsi="Calibri"/>
          <w:sz w:val="22"/>
          <w:szCs w:val="22"/>
        </w:rPr>
      </w:pPr>
      <w:r>
        <w:separator/>
      </w:r>
    </w:p>
  </w:footnote>
  <w:footnote w:type="continuationSeparator" w:id="0">
    <w:p w:rsidR="007E1440" w:rsidRPr="00E94D78" w:rsidRDefault="007E1440"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14" w:rsidRDefault="009F1E14" w:rsidP="006E08EE">
    <w:pPr>
      <w:pStyle w:val="ab"/>
      <w:jc w:val="center"/>
    </w:pPr>
    <w:r w:rsidRPr="00EE3EC7">
      <w:rPr>
        <w:rFonts w:ascii="Times New Roman" w:hAnsi="Times New Roman"/>
      </w:rPr>
      <w:fldChar w:fldCharType="begin"/>
    </w:r>
    <w:r w:rsidRPr="00EE3EC7">
      <w:rPr>
        <w:rFonts w:ascii="Times New Roman" w:hAnsi="Times New Roman"/>
      </w:rPr>
      <w:instrText>PAGE   \* MERGEFORMAT</w:instrText>
    </w:r>
    <w:r w:rsidRPr="00EE3EC7">
      <w:rPr>
        <w:rFonts w:ascii="Times New Roman" w:hAnsi="Times New Roman"/>
      </w:rPr>
      <w:fldChar w:fldCharType="separate"/>
    </w:r>
    <w:r w:rsidR="00EC42EF" w:rsidRPr="00EC42EF">
      <w:rPr>
        <w:rFonts w:ascii="Times New Roman" w:hAnsi="Times New Roman"/>
        <w:noProof/>
        <w:lang w:val="ru-RU"/>
      </w:rPr>
      <w:t>7</w:t>
    </w:r>
    <w:r w:rsidRPr="00EE3EC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EE" w:rsidRPr="00747C72" w:rsidRDefault="006E08EE">
    <w:pPr>
      <w:pStyle w:val="ab"/>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9E" w:rsidRPr="0051684F" w:rsidRDefault="00C10F9E">
    <w:pPr>
      <w:pStyle w:val="ab"/>
      <w:jc w:val="center"/>
      <w:rPr>
        <w:rFonts w:ascii="Times New Roman" w:hAnsi="Times New Roman"/>
      </w:rPr>
    </w:pPr>
    <w:r w:rsidRPr="0051684F">
      <w:rPr>
        <w:rFonts w:ascii="Times New Roman" w:hAnsi="Times New Roman"/>
      </w:rPr>
      <w:fldChar w:fldCharType="begin"/>
    </w:r>
    <w:r w:rsidRPr="0051684F">
      <w:rPr>
        <w:rFonts w:ascii="Times New Roman" w:hAnsi="Times New Roman"/>
      </w:rPr>
      <w:instrText>PAGE   \* MERGEFORMAT</w:instrText>
    </w:r>
    <w:r w:rsidRPr="0051684F">
      <w:rPr>
        <w:rFonts w:ascii="Times New Roman" w:hAnsi="Times New Roman"/>
      </w:rPr>
      <w:fldChar w:fldCharType="separate"/>
    </w:r>
    <w:r w:rsidR="00242728" w:rsidRPr="00242728">
      <w:rPr>
        <w:rFonts w:ascii="Times New Roman" w:hAnsi="Times New Roman"/>
        <w:noProof/>
        <w:lang w:val="ru-RU"/>
      </w:rPr>
      <w:t>14</w:t>
    </w:r>
    <w:r w:rsidRPr="0051684F">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2" w15:restartNumberingAfterBreak="0">
    <w:nsid w:val="54AF0D19"/>
    <w:multiLevelType w:val="hybridMultilevel"/>
    <w:tmpl w:val="9A4610C2"/>
    <w:lvl w:ilvl="0" w:tplc="350C8C1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5BCC7DB1"/>
    <w:multiLevelType w:val="hybridMultilevel"/>
    <w:tmpl w:val="2B802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1EC0"/>
    <w:rsid w:val="000225EA"/>
    <w:rsid w:val="00026B4E"/>
    <w:rsid w:val="00026BCB"/>
    <w:rsid w:val="00030D38"/>
    <w:rsid w:val="000310F2"/>
    <w:rsid w:val="000312FB"/>
    <w:rsid w:val="00031C77"/>
    <w:rsid w:val="00033F7D"/>
    <w:rsid w:val="00041F14"/>
    <w:rsid w:val="00042E67"/>
    <w:rsid w:val="000448FE"/>
    <w:rsid w:val="00044978"/>
    <w:rsid w:val="000470B9"/>
    <w:rsid w:val="00050895"/>
    <w:rsid w:val="0005137E"/>
    <w:rsid w:val="000525A3"/>
    <w:rsid w:val="00054F97"/>
    <w:rsid w:val="00065403"/>
    <w:rsid w:val="00066214"/>
    <w:rsid w:val="00066E13"/>
    <w:rsid w:val="00070C82"/>
    <w:rsid w:val="000737FE"/>
    <w:rsid w:val="00073FE8"/>
    <w:rsid w:val="00074C94"/>
    <w:rsid w:val="00075EC6"/>
    <w:rsid w:val="0007729A"/>
    <w:rsid w:val="000814F7"/>
    <w:rsid w:val="00081BAD"/>
    <w:rsid w:val="00083B62"/>
    <w:rsid w:val="00092F5E"/>
    <w:rsid w:val="000A1EEF"/>
    <w:rsid w:val="000A5058"/>
    <w:rsid w:val="000B0E8C"/>
    <w:rsid w:val="000B12D0"/>
    <w:rsid w:val="000B137B"/>
    <w:rsid w:val="000B64F6"/>
    <w:rsid w:val="000B68EB"/>
    <w:rsid w:val="000B7C04"/>
    <w:rsid w:val="000C3348"/>
    <w:rsid w:val="000C3727"/>
    <w:rsid w:val="000D13EA"/>
    <w:rsid w:val="000D658E"/>
    <w:rsid w:val="000D6E98"/>
    <w:rsid w:val="000D71E1"/>
    <w:rsid w:val="000E0C86"/>
    <w:rsid w:val="000E0D2F"/>
    <w:rsid w:val="000E1A0E"/>
    <w:rsid w:val="000E1CE4"/>
    <w:rsid w:val="000E3E2B"/>
    <w:rsid w:val="000E4C08"/>
    <w:rsid w:val="000F3A33"/>
    <w:rsid w:val="000F4356"/>
    <w:rsid w:val="000F4B86"/>
    <w:rsid w:val="000F7FF4"/>
    <w:rsid w:val="001007A6"/>
    <w:rsid w:val="001024E2"/>
    <w:rsid w:val="001036C2"/>
    <w:rsid w:val="00106440"/>
    <w:rsid w:val="001072E7"/>
    <w:rsid w:val="00110A74"/>
    <w:rsid w:val="00110DEB"/>
    <w:rsid w:val="001125B8"/>
    <w:rsid w:val="00117967"/>
    <w:rsid w:val="00121BBF"/>
    <w:rsid w:val="001227FF"/>
    <w:rsid w:val="00122D27"/>
    <w:rsid w:val="00124049"/>
    <w:rsid w:val="00126461"/>
    <w:rsid w:val="00130943"/>
    <w:rsid w:val="00133D0D"/>
    <w:rsid w:val="00134114"/>
    <w:rsid w:val="00135BA7"/>
    <w:rsid w:val="00137C7B"/>
    <w:rsid w:val="0014017C"/>
    <w:rsid w:val="00140CA4"/>
    <w:rsid w:val="001423AE"/>
    <w:rsid w:val="0014283A"/>
    <w:rsid w:val="001433BB"/>
    <w:rsid w:val="00143761"/>
    <w:rsid w:val="00144BFF"/>
    <w:rsid w:val="001556C9"/>
    <w:rsid w:val="001569D0"/>
    <w:rsid w:val="00157148"/>
    <w:rsid w:val="0016295C"/>
    <w:rsid w:val="0016357C"/>
    <w:rsid w:val="0016528C"/>
    <w:rsid w:val="0016588A"/>
    <w:rsid w:val="00167D43"/>
    <w:rsid w:val="001712AC"/>
    <w:rsid w:val="00183E6D"/>
    <w:rsid w:val="00184294"/>
    <w:rsid w:val="001930F5"/>
    <w:rsid w:val="00193E03"/>
    <w:rsid w:val="001B5EC2"/>
    <w:rsid w:val="001B7130"/>
    <w:rsid w:val="001B7498"/>
    <w:rsid w:val="001B7C1A"/>
    <w:rsid w:val="001C0EF1"/>
    <w:rsid w:val="001D0888"/>
    <w:rsid w:val="001D63EB"/>
    <w:rsid w:val="001E34D6"/>
    <w:rsid w:val="001E799E"/>
    <w:rsid w:val="001E7C75"/>
    <w:rsid w:val="001F114D"/>
    <w:rsid w:val="001F167B"/>
    <w:rsid w:val="001F36E9"/>
    <w:rsid w:val="001F3E57"/>
    <w:rsid w:val="001F56BC"/>
    <w:rsid w:val="002011B6"/>
    <w:rsid w:val="00201ADC"/>
    <w:rsid w:val="00212D23"/>
    <w:rsid w:val="00212FFC"/>
    <w:rsid w:val="00217E43"/>
    <w:rsid w:val="00222C39"/>
    <w:rsid w:val="00224BC4"/>
    <w:rsid w:val="002369BC"/>
    <w:rsid w:val="00241484"/>
    <w:rsid w:val="00242728"/>
    <w:rsid w:val="00243BF8"/>
    <w:rsid w:val="002454FE"/>
    <w:rsid w:val="002512E1"/>
    <w:rsid w:val="00253E41"/>
    <w:rsid w:val="00256743"/>
    <w:rsid w:val="00262A9E"/>
    <w:rsid w:val="00262C11"/>
    <w:rsid w:val="00265411"/>
    <w:rsid w:val="00267B5E"/>
    <w:rsid w:val="00267E53"/>
    <w:rsid w:val="00275E4C"/>
    <w:rsid w:val="002760AB"/>
    <w:rsid w:val="00276AE8"/>
    <w:rsid w:val="0028099B"/>
    <w:rsid w:val="00283764"/>
    <w:rsid w:val="00284E84"/>
    <w:rsid w:val="002926E1"/>
    <w:rsid w:val="0029371A"/>
    <w:rsid w:val="00294B07"/>
    <w:rsid w:val="0029619A"/>
    <w:rsid w:val="00297BC2"/>
    <w:rsid w:val="002A0191"/>
    <w:rsid w:val="002A1545"/>
    <w:rsid w:val="002A1705"/>
    <w:rsid w:val="002A51F1"/>
    <w:rsid w:val="002A63E0"/>
    <w:rsid w:val="002B0662"/>
    <w:rsid w:val="002B32A0"/>
    <w:rsid w:val="002B7865"/>
    <w:rsid w:val="002B7DF4"/>
    <w:rsid w:val="002C300F"/>
    <w:rsid w:val="002C3D05"/>
    <w:rsid w:val="002D0E3F"/>
    <w:rsid w:val="002D59D4"/>
    <w:rsid w:val="002D67F5"/>
    <w:rsid w:val="002D79D9"/>
    <w:rsid w:val="002E0C34"/>
    <w:rsid w:val="002E4514"/>
    <w:rsid w:val="002E76C7"/>
    <w:rsid w:val="002F157F"/>
    <w:rsid w:val="002F42F9"/>
    <w:rsid w:val="00303AB1"/>
    <w:rsid w:val="0030550B"/>
    <w:rsid w:val="00317613"/>
    <w:rsid w:val="00317F62"/>
    <w:rsid w:val="003252AB"/>
    <w:rsid w:val="00327DB8"/>
    <w:rsid w:val="00333A89"/>
    <w:rsid w:val="00334CBD"/>
    <w:rsid w:val="0034338C"/>
    <w:rsid w:val="00344A2D"/>
    <w:rsid w:val="003462C1"/>
    <w:rsid w:val="00351C65"/>
    <w:rsid w:val="00355B82"/>
    <w:rsid w:val="00357FF1"/>
    <w:rsid w:val="00363A96"/>
    <w:rsid w:val="00367690"/>
    <w:rsid w:val="00374F2D"/>
    <w:rsid w:val="0037709D"/>
    <w:rsid w:val="00380594"/>
    <w:rsid w:val="00381FAB"/>
    <w:rsid w:val="00385D57"/>
    <w:rsid w:val="0038751E"/>
    <w:rsid w:val="00387E86"/>
    <w:rsid w:val="00395737"/>
    <w:rsid w:val="00396212"/>
    <w:rsid w:val="003965A2"/>
    <w:rsid w:val="00397108"/>
    <w:rsid w:val="003A046F"/>
    <w:rsid w:val="003A273B"/>
    <w:rsid w:val="003A615A"/>
    <w:rsid w:val="003A6407"/>
    <w:rsid w:val="003A6DB9"/>
    <w:rsid w:val="003B4EB2"/>
    <w:rsid w:val="003B72BD"/>
    <w:rsid w:val="003C0DA7"/>
    <w:rsid w:val="003C2141"/>
    <w:rsid w:val="003C23AD"/>
    <w:rsid w:val="003C5115"/>
    <w:rsid w:val="003C566B"/>
    <w:rsid w:val="003C57BB"/>
    <w:rsid w:val="003C5F39"/>
    <w:rsid w:val="003C788C"/>
    <w:rsid w:val="003D083A"/>
    <w:rsid w:val="003D1148"/>
    <w:rsid w:val="003D36C2"/>
    <w:rsid w:val="003D38FD"/>
    <w:rsid w:val="003D6205"/>
    <w:rsid w:val="003D75D7"/>
    <w:rsid w:val="003E0B2F"/>
    <w:rsid w:val="003E2A44"/>
    <w:rsid w:val="003F1CAF"/>
    <w:rsid w:val="003F3F49"/>
    <w:rsid w:val="003F4B2F"/>
    <w:rsid w:val="003F4B80"/>
    <w:rsid w:val="003F6FE2"/>
    <w:rsid w:val="004018B2"/>
    <w:rsid w:val="004066A6"/>
    <w:rsid w:val="004103BA"/>
    <w:rsid w:val="00410442"/>
    <w:rsid w:val="00411757"/>
    <w:rsid w:val="00413E37"/>
    <w:rsid w:val="00413F86"/>
    <w:rsid w:val="004149C1"/>
    <w:rsid w:val="00415580"/>
    <w:rsid w:val="0042318E"/>
    <w:rsid w:val="004353A3"/>
    <w:rsid w:val="00435E4B"/>
    <w:rsid w:val="00441188"/>
    <w:rsid w:val="004425D8"/>
    <w:rsid w:val="0044281D"/>
    <w:rsid w:val="004435D5"/>
    <w:rsid w:val="004454F6"/>
    <w:rsid w:val="00445896"/>
    <w:rsid w:val="004479AC"/>
    <w:rsid w:val="00450B32"/>
    <w:rsid w:val="0045521B"/>
    <w:rsid w:val="00456288"/>
    <w:rsid w:val="00456F93"/>
    <w:rsid w:val="0045795F"/>
    <w:rsid w:val="004606DA"/>
    <w:rsid w:val="00461B54"/>
    <w:rsid w:val="0047110D"/>
    <w:rsid w:val="00474389"/>
    <w:rsid w:val="00483697"/>
    <w:rsid w:val="004907C6"/>
    <w:rsid w:val="004910D5"/>
    <w:rsid w:val="00493EAD"/>
    <w:rsid w:val="00496775"/>
    <w:rsid w:val="00496E5A"/>
    <w:rsid w:val="004978DC"/>
    <w:rsid w:val="00497B9B"/>
    <w:rsid w:val="00497FE2"/>
    <w:rsid w:val="004A6428"/>
    <w:rsid w:val="004B0E90"/>
    <w:rsid w:val="004B171F"/>
    <w:rsid w:val="004B27D9"/>
    <w:rsid w:val="004B4A37"/>
    <w:rsid w:val="004B52C3"/>
    <w:rsid w:val="004B5979"/>
    <w:rsid w:val="004B6D87"/>
    <w:rsid w:val="004B7A43"/>
    <w:rsid w:val="004B7D4D"/>
    <w:rsid w:val="004C02A5"/>
    <w:rsid w:val="004C1D43"/>
    <w:rsid w:val="004C41F9"/>
    <w:rsid w:val="004C61CC"/>
    <w:rsid w:val="004C65A9"/>
    <w:rsid w:val="004D2769"/>
    <w:rsid w:val="004D57E9"/>
    <w:rsid w:val="004D5ED0"/>
    <w:rsid w:val="004D69AC"/>
    <w:rsid w:val="004D6ADB"/>
    <w:rsid w:val="004E00FD"/>
    <w:rsid w:val="004E0DBF"/>
    <w:rsid w:val="004E55F4"/>
    <w:rsid w:val="004E5609"/>
    <w:rsid w:val="004E5654"/>
    <w:rsid w:val="004F0C20"/>
    <w:rsid w:val="004F2990"/>
    <w:rsid w:val="004F2A1D"/>
    <w:rsid w:val="004F2AD4"/>
    <w:rsid w:val="004F6FC7"/>
    <w:rsid w:val="004F7C41"/>
    <w:rsid w:val="005023C4"/>
    <w:rsid w:val="00502B89"/>
    <w:rsid w:val="0050312E"/>
    <w:rsid w:val="0050513C"/>
    <w:rsid w:val="005078E8"/>
    <w:rsid w:val="00510D18"/>
    <w:rsid w:val="005123B1"/>
    <w:rsid w:val="00513B59"/>
    <w:rsid w:val="0051684F"/>
    <w:rsid w:val="00526B16"/>
    <w:rsid w:val="005276D5"/>
    <w:rsid w:val="00527A65"/>
    <w:rsid w:val="00527F1A"/>
    <w:rsid w:val="005345C5"/>
    <w:rsid w:val="00535660"/>
    <w:rsid w:val="00542EB4"/>
    <w:rsid w:val="0054336B"/>
    <w:rsid w:val="005446A0"/>
    <w:rsid w:val="00544879"/>
    <w:rsid w:val="00546C27"/>
    <w:rsid w:val="005542EC"/>
    <w:rsid w:val="0055661C"/>
    <w:rsid w:val="005568BB"/>
    <w:rsid w:val="00561903"/>
    <w:rsid w:val="00561C1D"/>
    <w:rsid w:val="00562C75"/>
    <w:rsid w:val="00571DA9"/>
    <w:rsid w:val="00573730"/>
    <w:rsid w:val="0057654A"/>
    <w:rsid w:val="00582476"/>
    <w:rsid w:val="005825F4"/>
    <w:rsid w:val="00593674"/>
    <w:rsid w:val="005954A1"/>
    <w:rsid w:val="005A0D07"/>
    <w:rsid w:val="005A1828"/>
    <w:rsid w:val="005A4B84"/>
    <w:rsid w:val="005A506B"/>
    <w:rsid w:val="005A67C6"/>
    <w:rsid w:val="005B0DA9"/>
    <w:rsid w:val="005B3983"/>
    <w:rsid w:val="005B4150"/>
    <w:rsid w:val="005B6CC8"/>
    <w:rsid w:val="005C416F"/>
    <w:rsid w:val="005D7903"/>
    <w:rsid w:val="005E295B"/>
    <w:rsid w:val="005E3DBA"/>
    <w:rsid w:val="005E4672"/>
    <w:rsid w:val="005E6192"/>
    <w:rsid w:val="005F185F"/>
    <w:rsid w:val="005F2841"/>
    <w:rsid w:val="00603230"/>
    <w:rsid w:val="00604E46"/>
    <w:rsid w:val="0060583D"/>
    <w:rsid w:val="006108B4"/>
    <w:rsid w:val="00611E5B"/>
    <w:rsid w:val="00612A21"/>
    <w:rsid w:val="00614064"/>
    <w:rsid w:val="00621FF2"/>
    <w:rsid w:val="00623BB9"/>
    <w:rsid w:val="00623D34"/>
    <w:rsid w:val="006410A9"/>
    <w:rsid w:val="006422D8"/>
    <w:rsid w:val="00647FC7"/>
    <w:rsid w:val="00655E75"/>
    <w:rsid w:val="00662C6F"/>
    <w:rsid w:val="00663DD7"/>
    <w:rsid w:val="00665ADB"/>
    <w:rsid w:val="006727C6"/>
    <w:rsid w:val="00673497"/>
    <w:rsid w:val="00676A30"/>
    <w:rsid w:val="006802F9"/>
    <w:rsid w:val="00681608"/>
    <w:rsid w:val="00686FBA"/>
    <w:rsid w:val="006957DA"/>
    <w:rsid w:val="00695A0E"/>
    <w:rsid w:val="006A2472"/>
    <w:rsid w:val="006A3A21"/>
    <w:rsid w:val="006A3CEF"/>
    <w:rsid w:val="006A6FD8"/>
    <w:rsid w:val="006A7C20"/>
    <w:rsid w:val="006B3A5D"/>
    <w:rsid w:val="006B5391"/>
    <w:rsid w:val="006B794D"/>
    <w:rsid w:val="006C70E1"/>
    <w:rsid w:val="006D03B9"/>
    <w:rsid w:val="006D3047"/>
    <w:rsid w:val="006D3E22"/>
    <w:rsid w:val="006D60BC"/>
    <w:rsid w:val="006D734B"/>
    <w:rsid w:val="006E07EC"/>
    <w:rsid w:val="006E08EE"/>
    <w:rsid w:val="006E174E"/>
    <w:rsid w:val="006E37F0"/>
    <w:rsid w:val="006E4918"/>
    <w:rsid w:val="006F01D7"/>
    <w:rsid w:val="006F0E3D"/>
    <w:rsid w:val="006F7EFD"/>
    <w:rsid w:val="007005FB"/>
    <w:rsid w:val="007036AA"/>
    <w:rsid w:val="00703D12"/>
    <w:rsid w:val="007101C8"/>
    <w:rsid w:val="00710CB9"/>
    <w:rsid w:val="00714DE2"/>
    <w:rsid w:val="00722358"/>
    <w:rsid w:val="0072350F"/>
    <w:rsid w:val="00723B87"/>
    <w:rsid w:val="0072660F"/>
    <w:rsid w:val="00727519"/>
    <w:rsid w:val="00732FD0"/>
    <w:rsid w:val="0073728F"/>
    <w:rsid w:val="00742BA2"/>
    <w:rsid w:val="0074547E"/>
    <w:rsid w:val="00747816"/>
    <w:rsid w:val="00747C72"/>
    <w:rsid w:val="00750A92"/>
    <w:rsid w:val="0075124D"/>
    <w:rsid w:val="00752196"/>
    <w:rsid w:val="00756B50"/>
    <w:rsid w:val="007657B1"/>
    <w:rsid w:val="00765D63"/>
    <w:rsid w:val="00777D4F"/>
    <w:rsid w:val="00781778"/>
    <w:rsid w:val="00784463"/>
    <w:rsid w:val="00786A3B"/>
    <w:rsid w:val="00790ECF"/>
    <w:rsid w:val="00792ED8"/>
    <w:rsid w:val="00796E9C"/>
    <w:rsid w:val="0079725B"/>
    <w:rsid w:val="007975EE"/>
    <w:rsid w:val="00797CF9"/>
    <w:rsid w:val="007A10E6"/>
    <w:rsid w:val="007B01AE"/>
    <w:rsid w:val="007B5BCF"/>
    <w:rsid w:val="007C1376"/>
    <w:rsid w:val="007C6C90"/>
    <w:rsid w:val="007C7803"/>
    <w:rsid w:val="007D43E3"/>
    <w:rsid w:val="007D62F0"/>
    <w:rsid w:val="007D7F4E"/>
    <w:rsid w:val="007E1440"/>
    <w:rsid w:val="007E1A6B"/>
    <w:rsid w:val="007E1D4C"/>
    <w:rsid w:val="007E2549"/>
    <w:rsid w:val="007E33BC"/>
    <w:rsid w:val="007E4696"/>
    <w:rsid w:val="007E5416"/>
    <w:rsid w:val="007E5866"/>
    <w:rsid w:val="007E7BF7"/>
    <w:rsid w:val="007F182F"/>
    <w:rsid w:val="007F4013"/>
    <w:rsid w:val="007F5465"/>
    <w:rsid w:val="007F7D5C"/>
    <w:rsid w:val="00802A15"/>
    <w:rsid w:val="0080332B"/>
    <w:rsid w:val="00803650"/>
    <w:rsid w:val="00805981"/>
    <w:rsid w:val="00812355"/>
    <w:rsid w:val="00815EA8"/>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1CEE"/>
    <w:rsid w:val="00876D1A"/>
    <w:rsid w:val="00876EE9"/>
    <w:rsid w:val="00883F6C"/>
    <w:rsid w:val="00886FED"/>
    <w:rsid w:val="008902FD"/>
    <w:rsid w:val="00890F63"/>
    <w:rsid w:val="00892BD7"/>
    <w:rsid w:val="008947C2"/>
    <w:rsid w:val="00895267"/>
    <w:rsid w:val="00897326"/>
    <w:rsid w:val="008A1324"/>
    <w:rsid w:val="008A3CD6"/>
    <w:rsid w:val="008A5A1B"/>
    <w:rsid w:val="008B11B0"/>
    <w:rsid w:val="008B63A3"/>
    <w:rsid w:val="008C2019"/>
    <w:rsid w:val="008C2A88"/>
    <w:rsid w:val="008C737E"/>
    <w:rsid w:val="008D0DE1"/>
    <w:rsid w:val="008D1D04"/>
    <w:rsid w:val="008E238F"/>
    <w:rsid w:val="008E4855"/>
    <w:rsid w:val="008E5A11"/>
    <w:rsid w:val="008F335E"/>
    <w:rsid w:val="008F33EA"/>
    <w:rsid w:val="008F4333"/>
    <w:rsid w:val="008F4608"/>
    <w:rsid w:val="008F7968"/>
    <w:rsid w:val="009020DD"/>
    <w:rsid w:val="009050C9"/>
    <w:rsid w:val="00905359"/>
    <w:rsid w:val="0090571F"/>
    <w:rsid w:val="00906A56"/>
    <w:rsid w:val="00910A1B"/>
    <w:rsid w:val="0091313D"/>
    <w:rsid w:val="0091631E"/>
    <w:rsid w:val="00916C2F"/>
    <w:rsid w:val="00921C92"/>
    <w:rsid w:val="00922954"/>
    <w:rsid w:val="00932F83"/>
    <w:rsid w:val="00944D59"/>
    <w:rsid w:val="00946AA8"/>
    <w:rsid w:val="009528D4"/>
    <w:rsid w:val="009549CF"/>
    <w:rsid w:val="00954D37"/>
    <w:rsid w:val="00954E9F"/>
    <w:rsid w:val="00955F5B"/>
    <w:rsid w:val="00957492"/>
    <w:rsid w:val="00967452"/>
    <w:rsid w:val="00971CAC"/>
    <w:rsid w:val="00972F80"/>
    <w:rsid w:val="00986BB2"/>
    <w:rsid w:val="00987EB6"/>
    <w:rsid w:val="00992B39"/>
    <w:rsid w:val="00994184"/>
    <w:rsid w:val="0099463E"/>
    <w:rsid w:val="00994DE0"/>
    <w:rsid w:val="00995402"/>
    <w:rsid w:val="00996E5C"/>
    <w:rsid w:val="0099760E"/>
    <w:rsid w:val="009A1B9D"/>
    <w:rsid w:val="009A2E22"/>
    <w:rsid w:val="009A4298"/>
    <w:rsid w:val="009A64B9"/>
    <w:rsid w:val="009B1E77"/>
    <w:rsid w:val="009B422B"/>
    <w:rsid w:val="009B4445"/>
    <w:rsid w:val="009B518E"/>
    <w:rsid w:val="009C0DBF"/>
    <w:rsid w:val="009C2A9E"/>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CE5"/>
    <w:rsid w:val="00A1157F"/>
    <w:rsid w:val="00A11A5F"/>
    <w:rsid w:val="00A1747E"/>
    <w:rsid w:val="00A23228"/>
    <w:rsid w:val="00A30949"/>
    <w:rsid w:val="00A36C14"/>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81B74"/>
    <w:rsid w:val="00A878A0"/>
    <w:rsid w:val="00A940C6"/>
    <w:rsid w:val="00AA2660"/>
    <w:rsid w:val="00AA26B6"/>
    <w:rsid w:val="00AA2C02"/>
    <w:rsid w:val="00AA303E"/>
    <w:rsid w:val="00AA35B7"/>
    <w:rsid w:val="00AA3924"/>
    <w:rsid w:val="00AA4532"/>
    <w:rsid w:val="00AA5BD3"/>
    <w:rsid w:val="00AA62CA"/>
    <w:rsid w:val="00AB1E2B"/>
    <w:rsid w:val="00AB2C02"/>
    <w:rsid w:val="00AB57B3"/>
    <w:rsid w:val="00AB693D"/>
    <w:rsid w:val="00AB73DB"/>
    <w:rsid w:val="00AB7C22"/>
    <w:rsid w:val="00AC0AA6"/>
    <w:rsid w:val="00AC0AA9"/>
    <w:rsid w:val="00AC4B58"/>
    <w:rsid w:val="00AD5B7D"/>
    <w:rsid w:val="00AD7910"/>
    <w:rsid w:val="00AE2919"/>
    <w:rsid w:val="00AE4541"/>
    <w:rsid w:val="00AE61ED"/>
    <w:rsid w:val="00AF1EFB"/>
    <w:rsid w:val="00AF3824"/>
    <w:rsid w:val="00AF3884"/>
    <w:rsid w:val="00AF4AB6"/>
    <w:rsid w:val="00AF5509"/>
    <w:rsid w:val="00AF6F2E"/>
    <w:rsid w:val="00B00BB1"/>
    <w:rsid w:val="00B075EB"/>
    <w:rsid w:val="00B129E0"/>
    <w:rsid w:val="00B1787B"/>
    <w:rsid w:val="00B17EE1"/>
    <w:rsid w:val="00B23395"/>
    <w:rsid w:val="00B32BB8"/>
    <w:rsid w:val="00B32F84"/>
    <w:rsid w:val="00B35326"/>
    <w:rsid w:val="00B361D5"/>
    <w:rsid w:val="00B42E9E"/>
    <w:rsid w:val="00B44FB9"/>
    <w:rsid w:val="00B50119"/>
    <w:rsid w:val="00B50FEB"/>
    <w:rsid w:val="00B556AE"/>
    <w:rsid w:val="00B57198"/>
    <w:rsid w:val="00B57E7D"/>
    <w:rsid w:val="00B6366A"/>
    <w:rsid w:val="00B66EB4"/>
    <w:rsid w:val="00B738AF"/>
    <w:rsid w:val="00B7391B"/>
    <w:rsid w:val="00B76C34"/>
    <w:rsid w:val="00B812BF"/>
    <w:rsid w:val="00B86D75"/>
    <w:rsid w:val="00B90F74"/>
    <w:rsid w:val="00B97F09"/>
    <w:rsid w:val="00BA3AAA"/>
    <w:rsid w:val="00BA3B7A"/>
    <w:rsid w:val="00BA458E"/>
    <w:rsid w:val="00BA5EBD"/>
    <w:rsid w:val="00BA63D9"/>
    <w:rsid w:val="00BB0DF1"/>
    <w:rsid w:val="00BB2D31"/>
    <w:rsid w:val="00BB4FDF"/>
    <w:rsid w:val="00BB55B0"/>
    <w:rsid w:val="00BB7B37"/>
    <w:rsid w:val="00BC0424"/>
    <w:rsid w:val="00BC447B"/>
    <w:rsid w:val="00BC56EC"/>
    <w:rsid w:val="00BC5705"/>
    <w:rsid w:val="00BC7D5E"/>
    <w:rsid w:val="00BD0C98"/>
    <w:rsid w:val="00BD2EA9"/>
    <w:rsid w:val="00BD676B"/>
    <w:rsid w:val="00BD741C"/>
    <w:rsid w:val="00BE13D6"/>
    <w:rsid w:val="00BE30FA"/>
    <w:rsid w:val="00BE7B17"/>
    <w:rsid w:val="00BF27A7"/>
    <w:rsid w:val="00BF3777"/>
    <w:rsid w:val="00C0062D"/>
    <w:rsid w:val="00C04CB1"/>
    <w:rsid w:val="00C07537"/>
    <w:rsid w:val="00C10F9E"/>
    <w:rsid w:val="00C1325E"/>
    <w:rsid w:val="00C14A1A"/>
    <w:rsid w:val="00C26429"/>
    <w:rsid w:val="00C30876"/>
    <w:rsid w:val="00C323D2"/>
    <w:rsid w:val="00C33842"/>
    <w:rsid w:val="00C41E36"/>
    <w:rsid w:val="00C41FBE"/>
    <w:rsid w:val="00C420A6"/>
    <w:rsid w:val="00C44C2E"/>
    <w:rsid w:val="00C454DE"/>
    <w:rsid w:val="00C45B79"/>
    <w:rsid w:val="00C60BC4"/>
    <w:rsid w:val="00C6113A"/>
    <w:rsid w:val="00C628F0"/>
    <w:rsid w:val="00C71F14"/>
    <w:rsid w:val="00C772F2"/>
    <w:rsid w:val="00C80DDA"/>
    <w:rsid w:val="00C8348E"/>
    <w:rsid w:val="00C84FDC"/>
    <w:rsid w:val="00C87D1E"/>
    <w:rsid w:val="00C90209"/>
    <w:rsid w:val="00C919C9"/>
    <w:rsid w:val="00C92A28"/>
    <w:rsid w:val="00CA32C6"/>
    <w:rsid w:val="00CA5F99"/>
    <w:rsid w:val="00CB4407"/>
    <w:rsid w:val="00CB5CB5"/>
    <w:rsid w:val="00CB6BC4"/>
    <w:rsid w:val="00CC0A66"/>
    <w:rsid w:val="00CC3BC4"/>
    <w:rsid w:val="00CD1502"/>
    <w:rsid w:val="00CD23C7"/>
    <w:rsid w:val="00CD4A33"/>
    <w:rsid w:val="00CD7327"/>
    <w:rsid w:val="00CE182C"/>
    <w:rsid w:val="00CE38BF"/>
    <w:rsid w:val="00CE4475"/>
    <w:rsid w:val="00CE69C4"/>
    <w:rsid w:val="00CE7035"/>
    <w:rsid w:val="00CF14EF"/>
    <w:rsid w:val="00CF1DF1"/>
    <w:rsid w:val="00D02899"/>
    <w:rsid w:val="00D02FBE"/>
    <w:rsid w:val="00D03E30"/>
    <w:rsid w:val="00D03FF8"/>
    <w:rsid w:val="00D07779"/>
    <w:rsid w:val="00D1070C"/>
    <w:rsid w:val="00D17067"/>
    <w:rsid w:val="00D202E9"/>
    <w:rsid w:val="00D25606"/>
    <w:rsid w:val="00D25B69"/>
    <w:rsid w:val="00D31988"/>
    <w:rsid w:val="00D35FEA"/>
    <w:rsid w:val="00D4125F"/>
    <w:rsid w:val="00D41629"/>
    <w:rsid w:val="00D4479B"/>
    <w:rsid w:val="00D44AEC"/>
    <w:rsid w:val="00D45627"/>
    <w:rsid w:val="00D47B5D"/>
    <w:rsid w:val="00D5006A"/>
    <w:rsid w:val="00D50514"/>
    <w:rsid w:val="00D523FD"/>
    <w:rsid w:val="00D538A1"/>
    <w:rsid w:val="00D542ED"/>
    <w:rsid w:val="00D54317"/>
    <w:rsid w:val="00D608F1"/>
    <w:rsid w:val="00D66794"/>
    <w:rsid w:val="00D76DB7"/>
    <w:rsid w:val="00D8082A"/>
    <w:rsid w:val="00D8272E"/>
    <w:rsid w:val="00D828D8"/>
    <w:rsid w:val="00D835F7"/>
    <w:rsid w:val="00D83A8D"/>
    <w:rsid w:val="00D8412A"/>
    <w:rsid w:val="00D86D0A"/>
    <w:rsid w:val="00D86F00"/>
    <w:rsid w:val="00D87CE6"/>
    <w:rsid w:val="00D90EF6"/>
    <w:rsid w:val="00D92280"/>
    <w:rsid w:val="00D9646D"/>
    <w:rsid w:val="00DA14FD"/>
    <w:rsid w:val="00DA254D"/>
    <w:rsid w:val="00DA466C"/>
    <w:rsid w:val="00DA7AC4"/>
    <w:rsid w:val="00DB0029"/>
    <w:rsid w:val="00DB2D0A"/>
    <w:rsid w:val="00DB5B77"/>
    <w:rsid w:val="00DB66B1"/>
    <w:rsid w:val="00DC3AF0"/>
    <w:rsid w:val="00DC4E32"/>
    <w:rsid w:val="00DC5540"/>
    <w:rsid w:val="00DD1E6C"/>
    <w:rsid w:val="00DD23FE"/>
    <w:rsid w:val="00DD3B71"/>
    <w:rsid w:val="00DF0404"/>
    <w:rsid w:val="00DF1DC5"/>
    <w:rsid w:val="00DF56F6"/>
    <w:rsid w:val="00E02089"/>
    <w:rsid w:val="00E02EE5"/>
    <w:rsid w:val="00E04561"/>
    <w:rsid w:val="00E04CE3"/>
    <w:rsid w:val="00E13976"/>
    <w:rsid w:val="00E1398A"/>
    <w:rsid w:val="00E20E95"/>
    <w:rsid w:val="00E22F35"/>
    <w:rsid w:val="00E24A8D"/>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7DE5"/>
    <w:rsid w:val="00E61C8E"/>
    <w:rsid w:val="00E620FD"/>
    <w:rsid w:val="00E625DA"/>
    <w:rsid w:val="00E63FF2"/>
    <w:rsid w:val="00E65220"/>
    <w:rsid w:val="00E66B41"/>
    <w:rsid w:val="00E67B66"/>
    <w:rsid w:val="00E71901"/>
    <w:rsid w:val="00E802CF"/>
    <w:rsid w:val="00E8067A"/>
    <w:rsid w:val="00E80D47"/>
    <w:rsid w:val="00E842F6"/>
    <w:rsid w:val="00E85E8C"/>
    <w:rsid w:val="00E909A9"/>
    <w:rsid w:val="00E90B85"/>
    <w:rsid w:val="00E911FB"/>
    <w:rsid w:val="00E940CC"/>
    <w:rsid w:val="00E94D78"/>
    <w:rsid w:val="00E960E6"/>
    <w:rsid w:val="00E962F2"/>
    <w:rsid w:val="00E96E98"/>
    <w:rsid w:val="00EA0582"/>
    <w:rsid w:val="00EA0F61"/>
    <w:rsid w:val="00EA75DA"/>
    <w:rsid w:val="00EB5DDA"/>
    <w:rsid w:val="00EB6037"/>
    <w:rsid w:val="00EC0188"/>
    <w:rsid w:val="00EC0CF2"/>
    <w:rsid w:val="00EC0D00"/>
    <w:rsid w:val="00EC20F3"/>
    <w:rsid w:val="00EC42EF"/>
    <w:rsid w:val="00EC6D35"/>
    <w:rsid w:val="00ED2195"/>
    <w:rsid w:val="00ED26BB"/>
    <w:rsid w:val="00ED4214"/>
    <w:rsid w:val="00ED4319"/>
    <w:rsid w:val="00ED7BAC"/>
    <w:rsid w:val="00EE3792"/>
    <w:rsid w:val="00EE3EC7"/>
    <w:rsid w:val="00EE5E35"/>
    <w:rsid w:val="00EF0364"/>
    <w:rsid w:val="00EF2615"/>
    <w:rsid w:val="00EF6302"/>
    <w:rsid w:val="00EF6B77"/>
    <w:rsid w:val="00EF708D"/>
    <w:rsid w:val="00F0056F"/>
    <w:rsid w:val="00F00BFF"/>
    <w:rsid w:val="00F03E05"/>
    <w:rsid w:val="00F0452C"/>
    <w:rsid w:val="00F053BA"/>
    <w:rsid w:val="00F10385"/>
    <w:rsid w:val="00F1109D"/>
    <w:rsid w:val="00F11EB8"/>
    <w:rsid w:val="00F127EB"/>
    <w:rsid w:val="00F12B1C"/>
    <w:rsid w:val="00F1305B"/>
    <w:rsid w:val="00F13EE5"/>
    <w:rsid w:val="00F1414B"/>
    <w:rsid w:val="00F2120D"/>
    <w:rsid w:val="00F279CA"/>
    <w:rsid w:val="00F30074"/>
    <w:rsid w:val="00F3387B"/>
    <w:rsid w:val="00F36179"/>
    <w:rsid w:val="00F36785"/>
    <w:rsid w:val="00F40895"/>
    <w:rsid w:val="00F4156E"/>
    <w:rsid w:val="00F44A4D"/>
    <w:rsid w:val="00F53701"/>
    <w:rsid w:val="00F5484D"/>
    <w:rsid w:val="00F60455"/>
    <w:rsid w:val="00F756CE"/>
    <w:rsid w:val="00F76C50"/>
    <w:rsid w:val="00F81464"/>
    <w:rsid w:val="00F90DF8"/>
    <w:rsid w:val="00F9683F"/>
    <w:rsid w:val="00F968C3"/>
    <w:rsid w:val="00F9709A"/>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4D79C7"/>
  <w15:chartTrackingRefBased/>
  <w15:docId w15:val="{2A81A821-9198-4AB1-A9F7-E3AB8302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table" w:customStyle="1" w:styleId="TableNormal">
    <w:name w:val="Table Normal"/>
    <w:uiPriority w:val="2"/>
    <w:semiHidden/>
    <w:unhideWhenUsed/>
    <w:qFormat/>
    <w:rsid w:val="00955F5B"/>
    <w:pPr>
      <w:widowControl w:val="0"/>
    </w:pPr>
    <w:rPr>
      <w:rFonts w:eastAsia="Calibri" w:cs="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7809">
      <w:bodyDiv w:val="1"/>
      <w:marLeft w:val="0"/>
      <w:marRight w:val="0"/>
      <w:marTop w:val="0"/>
      <w:marBottom w:val="0"/>
      <w:divBdr>
        <w:top w:val="none" w:sz="0" w:space="0" w:color="auto"/>
        <w:left w:val="none" w:sz="0" w:space="0" w:color="auto"/>
        <w:bottom w:val="none" w:sz="0" w:space="0" w:color="auto"/>
        <w:right w:val="none" w:sz="0" w:space="0" w:color="auto"/>
      </w:divBdr>
    </w:div>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24288744">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45967">
      <w:bodyDiv w:val="1"/>
      <w:marLeft w:val="0"/>
      <w:marRight w:val="0"/>
      <w:marTop w:val="0"/>
      <w:marBottom w:val="0"/>
      <w:divBdr>
        <w:top w:val="none" w:sz="0" w:space="0" w:color="auto"/>
        <w:left w:val="none" w:sz="0" w:space="0" w:color="auto"/>
        <w:bottom w:val="none" w:sz="0" w:space="0" w:color="auto"/>
        <w:right w:val="none" w:sz="0" w:space="0" w:color="auto"/>
      </w:divBdr>
    </w:div>
    <w:div w:id="1098524448">
      <w:bodyDiv w:val="1"/>
      <w:marLeft w:val="0"/>
      <w:marRight w:val="0"/>
      <w:marTop w:val="0"/>
      <w:marBottom w:val="0"/>
      <w:divBdr>
        <w:top w:val="none" w:sz="0" w:space="0" w:color="auto"/>
        <w:left w:val="none" w:sz="0" w:space="0" w:color="auto"/>
        <w:bottom w:val="none" w:sz="0" w:space="0" w:color="auto"/>
        <w:right w:val="none" w:sz="0" w:space="0" w:color="auto"/>
      </w:divBdr>
    </w:div>
    <w:div w:id="1140343219">
      <w:bodyDiv w:val="1"/>
      <w:marLeft w:val="0"/>
      <w:marRight w:val="0"/>
      <w:marTop w:val="0"/>
      <w:marBottom w:val="0"/>
      <w:divBdr>
        <w:top w:val="none" w:sz="0" w:space="0" w:color="auto"/>
        <w:left w:val="none" w:sz="0" w:space="0" w:color="auto"/>
        <w:bottom w:val="none" w:sz="0" w:space="0" w:color="auto"/>
        <w:right w:val="none" w:sz="0" w:space="0" w:color="auto"/>
      </w:divBdr>
    </w:div>
    <w:div w:id="1302073817">
      <w:bodyDiv w:val="1"/>
      <w:marLeft w:val="0"/>
      <w:marRight w:val="0"/>
      <w:marTop w:val="0"/>
      <w:marBottom w:val="0"/>
      <w:divBdr>
        <w:top w:val="none" w:sz="0" w:space="0" w:color="auto"/>
        <w:left w:val="none" w:sz="0" w:space="0" w:color="auto"/>
        <w:bottom w:val="none" w:sz="0" w:space="0" w:color="auto"/>
        <w:right w:val="none" w:sz="0" w:space="0" w:color="auto"/>
      </w:divBdr>
    </w:div>
    <w:div w:id="1987854961">
      <w:bodyDiv w:val="1"/>
      <w:marLeft w:val="0"/>
      <w:marRight w:val="0"/>
      <w:marTop w:val="0"/>
      <w:marBottom w:val="0"/>
      <w:divBdr>
        <w:top w:val="none" w:sz="0" w:space="0" w:color="auto"/>
        <w:left w:val="none" w:sz="0" w:space="0" w:color="auto"/>
        <w:bottom w:val="none" w:sz="0" w:space="0" w:color="auto"/>
        <w:right w:val="none" w:sz="0" w:space="0" w:color="auto"/>
      </w:divBdr>
    </w:div>
    <w:div w:id="2074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995C-B739-4FCE-9E94-D51C8A59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 ИА</dc:creator>
  <cp:keywords/>
  <cp:lastModifiedBy>Аббасова Наталья Анатольевна</cp:lastModifiedBy>
  <cp:revision>2</cp:revision>
  <cp:lastPrinted>2021-10-22T03:58:00Z</cp:lastPrinted>
  <dcterms:created xsi:type="dcterms:W3CDTF">2023-03-10T07:00:00Z</dcterms:created>
  <dcterms:modified xsi:type="dcterms:W3CDTF">2023-03-10T07:00:00Z</dcterms:modified>
</cp:coreProperties>
</file>