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</w:t>
      </w:r>
      <w:r>
        <w:rPr>
          <w:sz w:val="28"/>
          <w:szCs w:val="28"/>
        </w:rPr>
        <w:t xml:space="preserve">от 13.03.2008 № 61-па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 целях эффективного использования средств областного бюджета </w:t>
      </w:r>
      <w:r>
        <w:rPr>
          <w:rFonts w:eastAsia="Arial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 xml:space="preserve">Внести </w:t>
      </w:r>
      <w:bookmarkStart w:id="0" w:name="_GoBack"/>
      <w:bookmarkEnd w:id="0"/>
      <w:r>
        <w:rPr>
          <w:rFonts w:eastAsia="Arial"/>
          <w:sz w:val="28"/>
          <w:szCs w:val="28"/>
        </w:rPr>
        <w:t xml:space="preserve">в постановление </w:t>
      </w:r>
      <w:r>
        <w:rPr>
          <w:rFonts w:eastAsia="Arial"/>
          <w:sz w:val="28"/>
          <w:szCs w:val="28"/>
        </w:rPr>
        <w:t xml:space="preserve">администрации </w:t>
      </w:r>
      <w:r>
        <w:rPr>
          <w:rFonts w:eastAsia="Arial"/>
          <w:sz w:val="28"/>
          <w:szCs w:val="28"/>
        </w:rPr>
        <w:t xml:space="preserve">Правительства Новосибирской области от </w:t>
      </w:r>
      <w:r>
        <w:rPr>
          <w:rFonts w:eastAsia="Arial"/>
          <w:sz w:val="28"/>
          <w:szCs w:val="28"/>
        </w:rPr>
        <w:t xml:space="preserve">13.03.2008</w:t>
      </w:r>
      <w:r>
        <w:rPr>
          <w:rFonts w:eastAsia="Arial"/>
          <w:sz w:val="28"/>
          <w:szCs w:val="28"/>
        </w:rPr>
        <w:t xml:space="preserve"> № </w:t>
      </w:r>
      <w:r>
        <w:rPr>
          <w:rFonts w:eastAsia="Arial"/>
          <w:sz w:val="28"/>
          <w:szCs w:val="28"/>
        </w:rPr>
        <w:t xml:space="preserve">61-па</w:t>
      </w:r>
      <w:r>
        <w:rPr>
          <w:rFonts w:eastAsia="Arial"/>
          <w:sz w:val="28"/>
          <w:szCs w:val="28"/>
        </w:rPr>
        <w:t xml:space="preserve"> «</w:t>
      </w:r>
      <w:r>
        <w:rPr>
          <w:rFonts w:eastAsia="Arial"/>
          <w:sz w:val="28"/>
          <w:szCs w:val="28"/>
        </w:rPr>
        <w:t xml:space="preserve">О форме и порядке принятия решений Правительством Новосибирской области о заключении</w:t>
      </w:r>
      <w:r>
        <w:rPr>
          <w:rFonts w:eastAsia="Arial"/>
          <w:color w:val="000000"/>
          <w:sz w:val="28"/>
          <w:szCs w:val="28"/>
        </w:rPr>
        <w:t xml:space="preserve"> долгосрочных государственных контрактов на выполнение работ (оказание услуг) с длительным производственным циклом</w:t>
      </w:r>
      <w:r>
        <w:rPr>
          <w:rFonts w:eastAsia="Arial"/>
          <w:color w:val="000000"/>
          <w:sz w:val="28"/>
          <w:szCs w:val="28"/>
        </w:rPr>
        <w:t xml:space="preserve">» следующ</w:t>
      </w:r>
      <w:r>
        <w:rPr>
          <w:rFonts w:eastAsia="Arial"/>
          <w:color w:val="000000"/>
          <w:sz w:val="28"/>
          <w:szCs w:val="28"/>
        </w:rPr>
        <w:t xml:space="preserve">и</w:t>
      </w:r>
      <w:r>
        <w:rPr>
          <w:rFonts w:eastAsia="Arial"/>
          <w:color w:val="000000"/>
          <w:sz w:val="28"/>
          <w:szCs w:val="28"/>
        </w:rPr>
        <w:t xml:space="preserve">е изменени</w:t>
      </w:r>
      <w:r>
        <w:rPr>
          <w:rFonts w:eastAsia="Arial"/>
          <w:color w:val="000000"/>
          <w:sz w:val="28"/>
          <w:szCs w:val="28"/>
        </w:rPr>
        <w:t xml:space="preserve">я</w:t>
      </w:r>
      <w:r>
        <w:rPr>
          <w:rFonts w:eastAsia="Arial"/>
          <w:color w:val="000000"/>
          <w:sz w:val="28"/>
          <w:szCs w:val="28"/>
        </w:rPr>
        <w:t xml:space="preserve">: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1) наименование постановления изложить в следующей редакции: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«О  форме и порядке принятия решений Правительством Новосибирской области о заключении государственных контрактов на поставку товаров, выполнение работ, оказание услуг на срок, превышающий срок действия утвержденных лимитов бюджетных обязательств»;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2) в абзаце </w:t>
      </w:r>
      <w:r>
        <w:rPr>
          <w:rFonts w:eastAsia="Arial"/>
          <w:sz w:val="28"/>
          <w:szCs w:val="28"/>
        </w:rPr>
        <w:t xml:space="preserve">первом слова «</w:t>
      </w:r>
      <w:hyperlink r:id="rId11" w:tooltip="consultantplus://offline/ref=907B3C4E67AAC7B5E3BFDF31FD432A1771B5DB0A5B7457497DCB8E10376125F1705045E99D782A8162E6F93DE01CC114323CCFA50E1DBBBBb0Y7B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29.12.2007 № 978 «Об утверждении Правил принятия решений о заключении долгосрочных государственных (муниципальных) контрактов на выполнение работ (оказание услуг) с длительным производственным циклом» </w:t>
      </w:r>
      <w:r>
        <w:rPr>
          <w:sz w:val="28"/>
          <w:szCs w:val="28"/>
        </w:rPr>
        <w:t xml:space="preserve">заменить словами «статьей 111.4 Федерального закона Российской Федерации от 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абзаце втором слова «долгосрочных государственных контракто</w:t>
      </w:r>
      <w:r>
        <w:rPr>
          <w:rFonts w:ascii="Times New Roman" w:hAnsi="Times New Roman" w:cs="Times New Roman"/>
          <w:sz w:val="28"/>
          <w:szCs w:val="28"/>
        </w:rPr>
        <w:t xml:space="preserve">в на выполнение работ (оказание услуг) с длительным производственным циклом» заменить словами «государственных контрактов на поставку товаров, выполнение работ, оказание услуг на срок, превышающий срок действия утвержденных лимитов бюджетных обязательств»;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Положении о форме и порядке принятия решений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циклом: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а) наименование изложить в следующей редакции: 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 xml:space="preserve">«Положение о </w:t>
      </w:r>
      <w:r>
        <w:rPr>
          <w:rFonts w:eastAsia="Arial"/>
          <w:color w:val="000000"/>
          <w:sz w:val="28"/>
          <w:szCs w:val="28"/>
        </w:rPr>
        <w:t xml:space="preserve">форме и порядке принятия решений Правительством Новосибирской области о заключении государственных контрактов на поставку товаров, выполнение работ, оказание услуг на срок, превышающий срок действия утвержденных лимитов бюджетных обязательств»</w:t>
      </w:r>
      <w:r>
        <w:rPr>
          <w:rFonts w:eastAsia="Arial"/>
          <w:color w:val="000000"/>
          <w:sz w:val="28"/>
          <w:szCs w:val="28"/>
        </w:rPr>
        <w:t xml:space="preserve">; 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б) </w:t>
      </w:r>
      <w:r>
        <w:rPr>
          <w:rFonts w:eastAsia="Arial"/>
          <w:color w:val="000000"/>
          <w:sz w:val="28"/>
          <w:szCs w:val="28"/>
        </w:rPr>
        <w:t xml:space="preserve">пункт 1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изложить в следующей редакции: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«1. 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форму и порядок принятия решений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Новосибирской области о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долгосрочных государственных контрактов на выполнение работ (оказание услуг), длительность производственного цикла выполнения (оказания) которых превышает превышает срок действия утвержденных лимитов,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ных контрактов на поставку товаров и (или) оказание услуг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частями 1 и 4 статьи 111.4 Федерального закона Российской Федерации от 05.04.2013 № 44-ФЗ «О 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(далее – долгосрочные государственные контракты)</w:t>
      </w:r>
      <w:r>
        <w:rPr>
          <w:rFonts w:ascii="Times New Roman" w:hAnsi="Times New Roman" w:cs="Times New Roman"/>
          <w:sz w:val="28"/>
          <w:szCs w:val="28"/>
        </w:rPr>
        <w:t xml:space="preserve">, для обеспечения нужд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в) </w:t>
      </w:r>
      <w:r>
        <w:rPr>
          <w:rFonts w:ascii="Times New Roman" w:hAnsi="Times New Roman" w:eastAsia="Arial" w:cs="Times New Roman"/>
          <w:sz w:val="28"/>
          <w:szCs w:val="28"/>
        </w:rPr>
        <w:t xml:space="preserve">абзацы пятый, шестой </w:t>
      </w:r>
      <w:r>
        <w:rPr>
          <w:rFonts w:ascii="Times New Roman" w:hAnsi="Times New Roman" w:eastAsia="Arial" w:cs="Times New Roman"/>
          <w:sz w:val="28"/>
          <w:szCs w:val="28"/>
        </w:rPr>
        <w:t xml:space="preserve">пункта 2 </w:t>
      </w:r>
      <w:r>
        <w:rPr>
          <w:rFonts w:ascii="Times New Roman" w:hAnsi="Times New Roman" w:eastAsia="Arial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«непревышение предельного объема средств, предусматриваемых</w:t>
      </w:r>
      <w:r>
        <w:rPr>
          <w:rFonts w:ascii="Times New Roman" w:hAnsi="Times New Roman" w:cs="Times New Roman"/>
          <w:sz w:val="28"/>
          <w:szCs w:val="28"/>
        </w:rPr>
        <w:t xml:space="preserve"> на оплату долгосрочного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рственного контракта для нужд Новосибирской области в текущем финансовом году и плановом периоде, над объемом бюджетных ассигнований, предусмотренных законом об областном бюджете Новосибирской области на соответствующий финансовый год и на плановый период;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непревышение годового предельного объема средств, предусматриваемых на оплату долгосрочного государственного контракта для нужд Новосибирской области за пределами планового периода, над максимальным годовым объемом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на оплату указанного долгосрочного государственного контракта в пределах планового периода (в текущем финансовом году)»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С.Л. Шарпф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238 63 84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5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4"/>
        <w:gridCol w:w="284"/>
      </w:tblGrid>
      <w:tr>
        <w:trPr/>
        <w:tc>
          <w:tcPr>
            <w:tcW w:w="31164" w:type="dxa"/>
            <w:gridSpan w:val="2"/>
            <w:noWrap w:val="false"/>
            <w:textDirection w:val="lrTb"/>
          </w:tcPr>
          <w:p>
            <w:pPr>
              <w:tabs>
                <w:tab w:val="left" w:pos="93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tcW w:w="31164" w:type="dxa"/>
            <w:noWrap w:val="false"/>
            <w:textDirection w:val="lrTb"/>
          </w:tcPr>
          <w:tbl>
            <w:tblPr>
              <w:tblStyle w:val="895"/>
              <w:tblW w:w="10102" w:type="dxa"/>
              <w:tblInd w:w="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527"/>
              <w:gridCol w:w="1116"/>
              <w:gridCol w:w="3459"/>
            </w:tblGrid>
            <w:tr>
              <w:trPr/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Председателя Правительства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 Знатков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Т.Н. Деркач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7" w:type="dxa"/>
                  <w:vMerge w:val="restart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Заместитель Председателя Правительства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 –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финансов и налоговой политики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В.Ю. Голубенко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экономического развития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Л.Н. Решетников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>
                <w:trHeight w:val="404"/>
              </w:trPr>
              <w:tc>
                <w:tcPr>
                  <w:tcW w:w="5527" w:type="dxa"/>
                  <w:vMerge w:val="restart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>
                <w:trHeight w:val="322"/>
              </w:trPr>
              <w:tc>
                <w:tcPr>
                  <w:tcW w:w="5527" w:type="dxa"/>
                  <w:vMerge w:val="restart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контрольного управления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vMerge w:val="restart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vMerge w:val="restart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С.Л. Шарпф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527" w:type="dxa"/>
                  <w:noWrap w:val="false"/>
                  <w:textDirection w:val="lrTb"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отдела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административного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производства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контрольного управления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116" w:type="dxa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59" w:type="dxa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  <w:r>
              <w:rPr>
                <w:rFonts w:eastAsiaTheme="minorHAnsi"/>
                <w:sz w:val="28"/>
                <w:szCs w:val="28"/>
              </w:rPr>
            </w:r>
          </w:p>
        </w:tc>
      </w:tr>
    </w:tbl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7973827"/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891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7">
    <w:name w:val="Heading 1"/>
    <w:basedOn w:val="686"/>
    <w:next w:val="686"/>
    <w:link w:val="7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1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1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1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2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2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Endnote Text Char"/>
    <w:uiPriority w:val="99"/>
    <w:rPr>
      <w:sz w:val="20"/>
    </w:rPr>
  </w:style>
  <w:style w:type="character" w:styleId="714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86"/>
    <w:next w:val="686"/>
    <w:link w:val="72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86"/>
    <w:next w:val="686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86"/>
    <w:next w:val="686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6"/>
    <w:next w:val="686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uiPriority w:val="99"/>
  </w:style>
  <w:style w:type="character" w:styleId="733" w:customStyle="1">
    <w:name w:val="Footer Char"/>
    <w:basedOn w:val="696"/>
    <w:uiPriority w:val="99"/>
  </w:style>
  <w:style w:type="paragraph" w:styleId="734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5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6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7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8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9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0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1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72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73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74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75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76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77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9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0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1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2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4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8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0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2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3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6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7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8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9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0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1">
    <w:name w:val="footnote text"/>
    <w:basedOn w:val="686"/>
    <w:link w:val="862"/>
    <w:uiPriority w:val="99"/>
    <w:semiHidden/>
    <w:unhideWhenUsed/>
    <w:pPr>
      <w:spacing w:after="40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6"/>
    <w:uiPriority w:val="99"/>
    <w:unhideWhenUsed/>
    <w:rPr>
      <w:vertAlign w:val="superscript"/>
    </w:rPr>
  </w:style>
  <w:style w:type="paragraph" w:styleId="864">
    <w:name w:val="endnote text"/>
    <w:basedOn w:val="686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6"/>
    <w:uiPriority w:val="99"/>
    <w:semiHidden/>
    <w:unhideWhenUsed/>
    <w:rPr>
      <w:vertAlign w:val="superscript"/>
    </w:rPr>
  </w:style>
  <w:style w:type="paragraph" w:styleId="867">
    <w:name w:val="toc 1"/>
    <w:basedOn w:val="686"/>
    <w:next w:val="686"/>
    <w:uiPriority w:val="39"/>
    <w:unhideWhenUsed/>
    <w:pPr>
      <w:spacing w:after="57"/>
    </w:pPr>
  </w:style>
  <w:style w:type="paragraph" w:styleId="868">
    <w:name w:val="toc 2"/>
    <w:basedOn w:val="686"/>
    <w:next w:val="686"/>
    <w:uiPriority w:val="39"/>
    <w:unhideWhenUsed/>
    <w:pPr>
      <w:spacing w:after="57"/>
      <w:ind w:left="283"/>
    </w:pPr>
  </w:style>
  <w:style w:type="paragraph" w:styleId="869">
    <w:name w:val="toc 3"/>
    <w:basedOn w:val="686"/>
    <w:next w:val="686"/>
    <w:uiPriority w:val="39"/>
    <w:unhideWhenUsed/>
    <w:pPr>
      <w:spacing w:after="57"/>
      <w:ind w:left="567"/>
    </w:pPr>
  </w:style>
  <w:style w:type="paragraph" w:styleId="870">
    <w:name w:val="toc 4"/>
    <w:basedOn w:val="686"/>
    <w:next w:val="686"/>
    <w:uiPriority w:val="39"/>
    <w:unhideWhenUsed/>
    <w:pPr>
      <w:spacing w:after="57"/>
      <w:ind w:left="850"/>
    </w:pPr>
  </w:style>
  <w:style w:type="paragraph" w:styleId="871">
    <w:name w:val="toc 5"/>
    <w:basedOn w:val="686"/>
    <w:next w:val="686"/>
    <w:uiPriority w:val="39"/>
    <w:unhideWhenUsed/>
    <w:pPr>
      <w:spacing w:after="57"/>
      <w:ind w:left="1134"/>
    </w:pPr>
  </w:style>
  <w:style w:type="paragraph" w:styleId="872">
    <w:name w:val="toc 6"/>
    <w:basedOn w:val="686"/>
    <w:next w:val="686"/>
    <w:uiPriority w:val="39"/>
    <w:unhideWhenUsed/>
    <w:pPr>
      <w:spacing w:after="57"/>
      <w:ind w:left="1417"/>
    </w:pPr>
  </w:style>
  <w:style w:type="paragraph" w:styleId="873">
    <w:name w:val="toc 7"/>
    <w:basedOn w:val="686"/>
    <w:next w:val="686"/>
    <w:uiPriority w:val="39"/>
    <w:unhideWhenUsed/>
    <w:pPr>
      <w:spacing w:after="57"/>
      <w:ind w:left="1701"/>
    </w:pPr>
  </w:style>
  <w:style w:type="paragraph" w:styleId="874">
    <w:name w:val="toc 8"/>
    <w:basedOn w:val="686"/>
    <w:next w:val="686"/>
    <w:uiPriority w:val="39"/>
    <w:unhideWhenUsed/>
    <w:pPr>
      <w:spacing w:after="57"/>
      <w:ind w:left="1984"/>
    </w:pPr>
  </w:style>
  <w:style w:type="paragraph" w:styleId="875">
    <w:name w:val="toc 9"/>
    <w:basedOn w:val="686"/>
    <w:next w:val="686"/>
    <w:uiPriority w:val="39"/>
    <w:unhideWhenUsed/>
    <w:pPr>
      <w:spacing w:after="57"/>
      <w:ind w:left="2268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86"/>
    <w:next w:val="686"/>
    <w:uiPriority w:val="99"/>
    <w:unhideWhenUsed/>
  </w:style>
  <w:style w:type="paragraph" w:styleId="878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79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80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881">
    <w:name w:val="Balloon Text"/>
    <w:basedOn w:val="686"/>
    <w:link w:val="882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882" w:customStyle="1">
    <w:name w:val="Текст выноски Знак"/>
    <w:basedOn w:val="696"/>
    <w:link w:val="881"/>
    <w:uiPriority w:val="99"/>
    <w:semiHidden/>
    <w:rPr>
      <w:rFonts w:ascii="Segoe UI" w:hAnsi="Segoe UI" w:cs="Segoe UI"/>
      <w:sz w:val="18"/>
      <w:szCs w:val="18"/>
    </w:rPr>
  </w:style>
  <w:style w:type="character" w:styleId="883">
    <w:name w:val="annotation reference"/>
    <w:basedOn w:val="696"/>
    <w:uiPriority w:val="99"/>
    <w:semiHidden/>
    <w:unhideWhenUsed/>
    <w:rPr>
      <w:sz w:val="16"/>
      <w:szCs w:val="16"/>
    </w:rPr>
  </w:style>
  <w:style w:type="paragraph" w:styleId="884">
    <w:name w:val="annotation text"/>
    <w:basedOn w:val="686"/>
    <w:link w:val="885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85" w:customStyle="1">
    <w:name w:val="Текст примечания Знак"/>
    <w:basedOn w:val="696"/>
    <w:link w:val="884"/>
    <w:uiPriority w:val="99"/>
    <w:semiHidden/>
    <w:rPr>
      <w:sz w:val="20"/>
      <w:szCs w:val="20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b/>
      <w:bCs/>
      <w:sz w:val="20"/>
      <w:szCs w:val="20"/>
    </w:rPr>
  </w:style>
  <w:style w:type="paragraph" w:styleId="888">
    <w:name w:val="Revision"/>
    <w:hidden/>
    <w:uiPriority w:val="99"/>
    <w:semiHidden/>
    <w:pPr>
      <w:spacing w:after="0" w:line="240" w:lineRule="auto"/>
    </w:pPr>
  </w:style>
  <w:style w:type="paragraph" w:styleId="889">
    <w:name w:val="List Paragraph"/>
    <w:basedOn w:val="686"/>
    <w:uiPriority w:val="34"/>
    <w:qFormat/>
    <w:pPr>
      <w:ind w:left="720"/>
      <w:contextualSpacing/>
    </w:pPr>
  </w:style>
  <w:style w:type="character" w:styleId="890">
    <w:name w:val="Hyperlink"/>
    <w:basedOn w:val="696"/>
    <w:uiPriority w:val="99"/>
    <w:unhideWhenUsed/>
    <w:rPr>
      <w:color w:val="0563c1" w:themeColor="hyperlink"/>
      <w:u w:val="single"/>
    </w:rPr>
  </w:style>
  <w:style w:type="paragraph" w:styleId="891">
    <w:name w:val="Header"/>
    <w:basedOn w:val="686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696"/>
    <w:link w:val="89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>
    <w:name w:val="Footer"/>
    <w:basedOn w:val="686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696"/>
    <w:link w:val="8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95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6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907B3C4E67AAC7B5E3BFDF31FD432A1771B5DB0A5B7457497DCB8E10376125F1705045E99D782A8162E6F93DE01CC114323CCFA50E1DBBBBb0Y7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1959-2AC3-4FEF-85F7-A98A88F4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revision>8</cp:revision>
  <dcterms:created xsi:type="dcterms:W3CDTF">2023-12-04T16:32:00Z</dcterms:created>
  <dcterms:modified xsi:type="dcterms:W3CDTF">2023-12-11T05:42:19Z</dcterms:modified>
</cp:coreProperties>
</file>