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uppressLineNumbers w:val="0"/>
        <w:tabs>
          <w:tab w:val="center" w:pos="4677" w:leader="none"/>
          <w:tab w:val="right" w:pos="9922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приказу министерства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экономического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развития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от_________2023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№______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center" w:pos="4677" w:leader="none"/>
          <w:tab w:val="right" w:pos="9922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приказу министерства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экономического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развития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tabs>
          <w:tab w:val="center" w:pos="4677" w:leader="none"/>
          <w:tab w:val="right" w:pos="9355" w:leader="none"/>
        </w:tabs>
        <w:spacing w:after="0" w:line="240" w:lineRule="auto"/>
        <w:ind w:left="0" w:firstLine="5953"/>
        <w:contextualSpacing w:val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15.08.2022 № 117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center" w:pos="4677" w:leader="none"/>
          <w:tab w:val="right" w:pos="9355" w:leader="none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center" w:pos="4677" w:leader="none"/>
          <w:tab w:val="right" w:pos="9355" w:leader="none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center" w:pos="4677" w:leader="none"/>
          <w:tab w:val="right" w:pos="9355" w:leader="none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егламент формирования и ведения Инвестиционной карты Новосибирской области, размещенной на инвестиционной карте Российской Федерации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suppressLineNumbers w:val="0"/>
        <w:tabs>
          <w:tab w:val="left" w:pos="1134" w:leader="none"/>
        </w:tabs>
        <w:spacing w:after="0" w:line="240" w:lineRule="auto"/>
        <w:ind w:left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val="en-US"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pStyle w:val="846"/>
        <w:tabs>
          <w:tab w:val="left" w:pos="1134" w:leader="none"/>
        </w:tabs>
        <w:spacing w:after="0" w:line="240" w:lineRule="auto"/>
        <w:ind w:left="1429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Настоящий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егламент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white"/>
        </w:rPr>
        <w:t xml:space="preserve">формирования и ведения Инвестиционной карты Новосибирской области, размещенной на инвестиционной карте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Регламент)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процедуры формирования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ведения,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сроки и порядок систематического предоставления Новосибирской областью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Министерству экономического развития Российской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Федерации (далее – Минэкономразвития России) сведений для наполнения и актуализации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инвестиционной карты Новосибирской области, размещенной на инвестиционной карте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Инвестиционная карта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Инвестиционная карта Российской Федерации размещается в информационно-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телекоммуникационной сети «Интернет» и представляет собой «публичную карту» подсистемы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«Мониторинг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инвестиционной деятельности» Автоматизированной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информационной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«Управление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инвестиционной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деятельности»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реализуемую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Правительством Мо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сквы совместно с Минэкономразвития России.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Инвестиционная карта Новосибирской области формируется для развития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инвестиционной активности и обеспечения свободного доступа инвесторов к информации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существующей инженерной инфраструктуре, свободных и перспективных территориальных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ресурсах, пригодных для реализации инвестиционных проектов, преференциальных территориях,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мерах государственной поддержки, тарифах, природных ресурсах и полезных ископаемых,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человеческого капитала, а также транспортной инфраструктуры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качестве источников автоматизированной загрузки сведений при формировании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Инвестиционной карты Новосибирской области используются государственные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информационные системы, ведомственная информация Новосибирской области и, 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технической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информационные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исполнительной власти.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 ведомственной информацией в целях настоящего Регламента понимаются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представленные в министерство экономического развития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данные, формируемые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областными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исполнительными органами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структурными подразделениями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территориальны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федеральных органов исполнительной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акционерным обществом «Агентство инвестиционного 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азвития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органами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муниципальных 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ресурсоснабжающими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организациями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 совмест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ном упоминании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участники информационного обмена)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инистерство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осуществляет полномочия по информационному наполнению Инвестиционной карты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обеспечивает актуализацию информации на Инвестиционной карте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ее графиком разработки и сроками актуализации (но не реже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чем 1 раз в 3 месяца), источниками автоматизированной загрузки сведений по информационным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слоям Инвестиционной карты Новосибирской области с указанием сроков интеграции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этими источниками;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взаимодействует с федеральными органами исполнительной власти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органами государственной власти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их структурными подразделениями,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 также с иными организациями в рамках сбора информации для наполнения Инвестиционной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карты Новосибирской области;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 взаим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одействии с федеральными органами исполнительной власти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органами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их структурными подразделениями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ерификацию сведений, предоставляемых на Инвестиционную карту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из внешних источников 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ведения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Инвестиционной карты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утвержденным настоящим приказом,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пределах их полномочий в соответствующих сферах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осуществляет полномочия по информационному наполнению Инвестиционной карты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вносит информацию в подсистему реестров и сбора форм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ГИС «Экономика», в том числе по атрибутивному составу карточек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объектов: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«Деловое окружение»,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«Аналитика региона»,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«Региональные меры поддержки»;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осуществляет мониторинг и ежеквартальную актуализацию внесенных сведений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системной основе не позднее 25 числа последнего месяца в каждом квартале;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7)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результатам мониторинга и актуализации соответствующих сведений направляет в 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Минэкономразвития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письмо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c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указанием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перечня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показателей,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обновленных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результатам мониторинга.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инистерство цифрового развития и связи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опреде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областным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исполнительным 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области, ответственн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 за техническое сопровождение и модернизацию Инвестиционной карты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обеспечивает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автоматизированную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передачу сведений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государственной информационной системы «Региональная геоинформационная система Новосибирской области»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подсистему реестров и сбора форм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ГИС «Экономика»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через универсальный механизм интеграционного взаимодействия посредством API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1276" w:leader="none"/>
        </w:tabs>
        <w:spacing w:after="0" w:line="240" w:lineRule="auto"/>
        <w:ind w:firstLine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II.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Информационное взаимодействие между участниками при формировании и ведении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Инвестиционной карты Новосибирской области на инвестиционной карте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алгоритм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действий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информационного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обмена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формировании и ведении Инвестиционной карты Новосибирской области разработан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целях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информации, необходимой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наполнения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актуализации слоев Инвестиционной карты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инвестиционной карте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инистерство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обеспечивает организацию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контроль процесса внесения участниками информационного обмена на Инвестиционную карту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для отображения пространственных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наличии интеграционного взаимодействия между подсистемой реестров и сбора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 ГИС «Экономика» и иными внешними информационными системами, допускается внесение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инистерством экономического развития Новосибирской област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соответствующих данных во внешние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информационные системы для последующей их передачи на Инвестиционную карту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Частота обновления и порядок верификации таких данных определяются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настоящим Регламентом.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инистерство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мониторинга и актуализации соответствующих сведений направляет в адрес Минэкономразвития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России письмо с указанием перечня показателей, обновленных по результатам мониторинга.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Участниками информационного обмена при разработке и ведении Инвестиционной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карты Новосибирской области,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областными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исполнительными органами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определенные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Губернатора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09.08.2022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147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«Об Инвестиционной карте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структурные подразделения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территориальны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федеральных органов исполнительной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акционерное общество «Агентство инвестиционного 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азвития Новосибирской области»;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органы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муниципальных 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ресурсоснабжающие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(АО «Региональные электрические сети», ОАО «РЖД», АО «Энергетик», ФГУП «УЭВ», Новосибирское ЛПУМГ ООО «ГАЗПРОМ ТРАНСГАЗ ТОМСК»).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13. Участники информационного обмена: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обеспечивают содействие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инистерству экономического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исполнении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мероприятий по сбору и обработке информационных материалов путем предоставления сведений,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необходимых для наполнения слоев Инвестиционной карты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проводят консультации, обработку обращений, поступающих через форму обратной связи;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несут ответственность за достоверность информации и сведений, предоставленных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формирования и ведения Инвестиционной карты Новосибирской области;</w:t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ежемесячно не позднее 15 числа каждого месяца осуществляют верификацию сведений,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размещенных на Инве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стиционной карте Новосибирской области в пределах своих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полномочий в соответствующих сферах.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1276" w:leader="none"/>
        </w:tabs>
        <w:spacing w:after="0" w:line="240" w:lineRule="auto"/>
        <w:ind w:firstLine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III. Внесение информации на Инвестиционную карту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, размещенную на инвестиционной карте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с помощью подсистемы реестров и сбора форм ГИС «Экономика»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 Информационное наполнение Инвестиционной карты Новосибирской области может осуществляться в ручном режиме в подсистеме ведения реестров и сбора форм ГИС «Экономика».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15. Подсистема ведения реестров и сбора форм ГИС «Экономика» использует для авторизации персональную учетную запись пользователя в Единой системе идентификации и аутентификации Портала государственных услуг Российской Федерации (ЕСИА)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 Регистрация пользователей в подсистеме реестров и сбора форм ГИС «Экономика» осуществляется при наличии технической возможности путем направления заявок, поданных в установленном порядке в адрес Минэкономразвития России через портал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https://gis.economy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.gov.ru/login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 Внесение информации осуществляется в отдельные каталоги,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 к редактированию которых предоставляется в соответствии с заявкой.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 Внесенные в ручном режиме в подсистеме реестров и сбора форм ГИС «Экономика» данные подписываются электронной подписью ответственного лица и только после подписания попадают на «публичную карту»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обеспечивающ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внесение данных в подсистему ведения реестров и сбора форм ГИС «Экономика»</w:t>
      </w:r>
      <w:r>
        <w:rPr>
          <w:rFonts w:ascii="Times New Roman" w:hAnsi="Times New Roman" w:cs="Times New Roman"/>
          <w:color w:val="00b05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несет ответственность за полноту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достоверность вносимых сведений, а также обеспечивает своевременную корректировку данных в случае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выявления в них ошибок и неточностей.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1276" w:leader="none"/>
        </w:tabs>
        <w:spacing w:after="0" w:line="240" w:lineRule="auto"/>
        <w:ind w:firstLine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Внесение информации на Инвестиционную карту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, размещенную на инвестиционной карте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через универсальный механизм интеграционного взаимодействия посредством API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Информационное наполнение Инвестиционной карты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инистерством цифрового развития и связи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автоматиче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ском режиме через универсальный механизм интеграционного взаимодействия посредством API. </w:t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21. Для получения доступа к API необходимо направить обращение в службу технической поддержки ГИС «Экономика» с просьбой предоставить доступ к API Инвестиционной карты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22. После загрузки данных посредством API можно осуществить проверку загруженных данных в интерфейсе подсистемы реестров и сбора форм ГИС «Экономика», получив доступ в соответствии с пунктом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 настоящего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23. Загруженные посредством API данные автоматически подписываются технологической подписью внешней информационной системы.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инистерство цифрового развития и связи Новосибирской области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, обеспечивающее внесение данных в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автоматическом режиме через универсальный механизм интеграционного взаимодействия посредством API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, несет ответственность за полноту 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достоверность загруженных сведений, а также обеспечивает своевременную корректировку данных в случае выявления в них ошибок и неточностей.</w:t>
      </w:r>
      <w:r>
        <w:rPr>
          <w:strike w:val="0"/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76" w:leader="none"/>
          <w:tab w:val="left" w:pos="6430" w:leader="none"/>
        </w:tabs>
        <w:spacing w:after="0" w:line="240" w:lineRule="auto"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34296834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84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8"/>
    <w:next w:val="838"/>
    <w:link w:val="66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9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8"/>
    <w:next w:val="838"/>
    <w:link w:val="66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9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8"/>
    <w:next w:val="838"/>
    <w:link w:val="66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9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8"/>
    <w:next w:val="838"/>
    <w:link w:val="67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9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8"/>
    <w:next w:val="838"/>
    <w:link w:val="67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9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8"/>
    <w:next w:val="838"/>
    <w:link w:val="67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9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8"/>
    <w:next w:val="838"/>
    <w:link w:val="67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8"/>
    <w:next w:val="838"/>
    <w:link w:val="67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9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8"/>
    <w:next w:val="838"/>
    <w:link w:val="68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9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8"/>
    <w:next w:val="838"/>
    <w:link w:val="68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4">
    <w:name w:val="Title Char"/>
    <w:basedOn w:val="839"/>
    <w:link w:val="683"/>
    <w:uiPriority w:val="10"/>
    <w:rPr>
      <w:sz w:val="48"/>
      <w:szCs w:val="48"/>
    </w:rPr>
  </w:style>
  <w:style w:type="paragraph" w:styleId="685">
    <w:name w:val="Subtitle"/>
    <w:basedOn w:val="838"/>
    <w:next w:val="83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9"/>
    <w:link w:val="685"/>
    <w:uiPriority w:val="11"/>
    <w:rPr>
      <w:sz w:val="24"/>
      <w:szCs w:val="24"/>
    </w:rPr>
  </w:style>
  <w:style w:type="paragraph" w:styleId="687">
    <w:name w:val="Quote"/>
    <w:basedOn w:val="838"/>
    <w:next w:val="83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8"/>
    <w:next w:val="838"/>
    <w:link w:val="69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9"/>
    <w:link w:val="842"/>
    <w:uiPriority w:val="99"/>
  </w:style>
  <w:style w:type="character" w:styleId="692">
    <w:name w:val="Footer Char"/>
    <w:basedOn w:val="839"/>
    <w:link w:val="857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57"/>
    <w:uiPriority w:val="99"/>
  </w:style>
  <w:style w:type="table" w:styleId="695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1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32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33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34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35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36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7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spacing w:after="57"/>
      <w:ind w:left="0" w:right="0" w:firstLine="0"/>
    </w:pPr>
  </w:style>
  <w:style w:type="paragraph" w:styleId="828">
    <w:name w:val="toc 2"/>
    <w:basedOn w:val="838"/>
    <w:next w:val="838"/>
    <w:uiPriority w:val="39"/>
    <w:unhideWhenUsed/>
    <w:pPr>
      <w:spacing w:after="57"/>
      <w:ind w:left="283" w:right="0" w:firstLine="0"/>
    </w:pPr>
  </w:style>
  <w:style w:type="paragraph" w:styleId="829">
    <w:name w:val="toc 3"/>
    <w:basedOn w:val="838"/>
    <w:next w:val="838"/>
    <w:uiPriority w:val="39"/>
    <w:unhideWhenUsed/>
    <w:pPr>
      <w:spacing w:after="57"/>
      <w:ind w:left="567" w:right="0" w:firstLine="0"/>
    </w:pPr>
  </w:style>
  <w:style w:type="paragraph" w:styleId="830">
    <w:name w:val="toc 4"/>
    <w:basedOn w:val="838"/>
    <w:next w:val="838"/>
    <w:uiPriority w:val="39"/>
    <w:unhideWhenUsed/>
    <w:pPr>
      <w:spacing w:after="57"/>
      <w:ind w:left="850" w:right="0" w:firstLine="0"/>
    </w:pPr>
  </w:style>
  <w:style w:type="paragraph" w:styleId="831">
    <w:name w:val="toc 5"/>
    <w:basedOn w:val="838"/>
    <w:next w:val="838"/>
    <w:uiPriority w:val="39"/>
    <w:unhideWhenUsed/>
    <w:pPr>
      <w:spacing w:after="57"/>
      <w:ind w:left="1134" w:right="0" w:firstLine="0"/>
    </w:pPr>
  </w:style>
  <w:style w:type="paragraph" w:styleId="832">
    <w:name w:val="toc 6"/>
    <w:basedOn w:val="838"/>
    <w:next w:val="838"/>
    <w:uiPriority w:val="39"/>
    <w:unhideWhenUsed/>
    <w:pPr>
      <w:spacing w:after="57"/>
      <w:ind w:left="1417" w:right="0" w:firstLine="0"/>
    </w:pPr>
  </w:style>
  <w:style w:type="paragraph" w:styleId="833">
    <w:name w:val="toc 7"/>
    <w:basedOn w:val="838"/>
    <w:next w:val="838"/>
    <w:uiPriority w:val="39"/>
    <w:unhideWhenUsed/>
    <w:pPr>
      <w:spacing w:after="57"/>
      <w:ind w:left="1701" w:right="0" w:firstLine="0"/>
    </w:pPr>
  </w:style>
  <w:style w:type="paragraph" w:styleId="834">
    <w:name w:val="toc 8"/>
    <w:basedOn w:val="838"/>
    <w:next w:val="838"/>
    <w:uiPriority w:val="39"/>
    <w:unhideWhenUsed/>
    <w:pPr>
      <w:spacing w:after="57"/>
      <w:ind w:left="1984" w:right="0" w:firstLine="0"/>
    </w:pPr>
  </w:style>
  <w:style w:type="paragraph" w:styleId="835">
    <w:name w:val="toc 9"/>
    <w:basedOn w:val="838"/>
    <w:next w:val="838"/>
    <w:uiPriority w:val="39"/>
    <w:unhideWhenUsed/>
    <w:pPr>
      <w:spacing w:after="57"/>
      <w:ind w:left="2268" w:right="0" w:firstLine="0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Header"/>
    <w:basedOn w:val="838"/>
    <w:link w:val="84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3" w:customStyle="1">
    <w:name w:val="Верхний колонтитул Знак"/>
    <w:basedOn w:val="839"/>
    <w:link w:val="84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4">
    <w:name w:val="Balloon Text"/>
    <w:basedOn w:val="838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9"/>
    <w:link w:val="844"/>
    <w:uiPriority w:val="99"/>
    <w:semiHidden/>
    <w:rPr>
      <w:rFonts w:ascii="Segoe UI" w:hAnsi="Segoe UI" w:cs="Segoe UI"/>
      <w:sz w:val="18"/>
      <w:szCs w:val="18"/>
    </w:rPr>
  </w:style>
  <w:style w:type="paragraph" w:styleId="846">
    <w:name w:val="List Paragraph"/>
    <w:basedOn w:val="838"/>
    <w:uiPriority w:val="34"/>
    <w:qFormat/>
    <w:pPr>
      <w:ind w:left="720"/>
      <w:contextualSpacing/>
    </w:pPr>
  </w:style>
  <w:style w:type="character" w:styleId="847">
    <w:name w:val="Hyperlink"/>
    <w:basedOn w:val="839"/>
    <w:uiPriority w:val="99"/>
    <w:unhideWhenUsed/>
    <w:rPr>
      <w:color w:val="0563c1" w:themeColor="hyperlink"/>
      <w:u w:val="single"/>
    </w:rPr>
  </w:style>
  <w:style w:type="paragraph" w:styleId="848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849" w:customStyle="1">
    <w:name w:val="ConsPlusTitle"/>
    <w:pPr>
      <w:widowControl w:val="off"/>
      <w:spacing w:after="0" w:line="240" w:lineRule="auto"/>
    </w:pPr>
    <w:rPr>
      <w:rFonts w:ascii="Arial" w:hAnsi="Arial" w:cs="Arial" w:eastAsiaTheme="minorEastAsia"/>
      <w:b/>
      <w:sz w:val="20"/>
      <w:lang w:eastAsia="ru-RU"/>
    </w:rPr>
  </w:style>
  <w:style w:type="paragraph" w:styleId="850">
    <w:name w:val="Revision"/>
    <w:hidden/>
    <w:uiPriority w:val="99"/>
    <w:semiHidden/>
    <w:pPr>
      <w:spacing w:after="0" w:line="240" w:lineRule="auto"/>
    </w:pPr>
  </w:style>
  <w:style w:type="character" w:styleId="851">
    <w:name w:val="annotation reference"/>
    <w:basedOn w:val="839"/>
    <w:uiPriority w:val="99"/>
    <w:semiHidden/>
    <w:unhideWhenUsed/>
    <w:rPr>
      <w:sz w:val="16"/>
      <w:szCs w:val="16"/>
    </w:rPr>
  </w:style>
  <w:style w:type="paragraph" w:styleId="852">
    <w:name w:val="annotation text"/>
    <w:basedOn w:val="838"/>
    <w:link w:val="85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3" w:customStyle="1">
    <w:name w:val="Текст примечания Знак"/>
    <w:basedOn w:val="839"/>
    <w:link w:val="852"/>
    <w:uiPriority w:val="99"/>
    <w:semiHidden/>
    <w:rPr>
      <w:sz w:val="20"/>
      <w:szCs w:val="20"/>
    </w:rPr>
  </w:style>
  <w:style w:type="paragraph" w:styleId="854">
    <w:name w:val="annotation subject"/>
    <w:basedOn w:val="852"/>
    <w:next w:val="852"/>
    <w:link w:val="855"/>
    <w:uiPriority w:val="99"/>
    <w:semiHidden/>
    <w:unhideWhenUsed/>
    <w:rPr>
      <w:b/>
      <w:bCs/>
    </w:rPr>
  </w:style>
  <w:style w:type="character" w:styleId="855" w:customStyle="1">
    <w:name w:val="Тема примечания Знак"/>
    <w:basedOn w:val="853"/>
    <w:link w:val="854"/>
    <w:uiPriority w:val="99"/>
    <w:semiHidden/>
    <w:rPr>
      <w:b/>
      <w:bCs/>
      <w:sz w:val="20"/>
      <w:szCs w:val="20"/>
    </w:rPr>
  </w:style>
  <w:style w:type="character" w:styleId="856">
    <w:name w:val="FollowedHyperlink"/>
    <w:basedOn w:val="839"/>
    <w:uiPriority w:val="99"/>
    <w:semiHidden/>
    <w:unhideWhenUsed/>
    <w:rPr>
      <w:color w:val="954f72" w:themeColor="followedHyperlink"/>
      <w:u w:val="single"/>
    </w:rPr>
  </w:style>
  <w:style w:type="paragraph" w:styleId="857">
    <w:name w:val="Footer"/>
    <w:basedOn w:val="838"/>
    <w:link w:val="85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58" w:customStyle="1">
    <w:name w:val="Нижний колонтитул Знак"/>
    <w:basedOn w:val="839"/>
    <w:link w:val="85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65CE-1B9B-4104-8A32-84806FB6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Шляхто Вера Евгеньевна</dc:creator>
  <cp:keywords/>
  <dc:description/>
  <cp:revision>30</cp:revision>
  <dcterms:created xsi:type="dcterms:W3CDTF">2022-08-08T03:58:00Z</dcterms:created>
  <dcterms:modified xsi:type="dcterms:W3CDTF">2023-09-08T05:56:52Z</dcterms:modified>
</cp:coreProperties>
</file>