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573" w:type="dxa"/>
        <w:tblInd w:w="5672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73"/>
      </w:tblGrid>
      <w:tr>
        <w:trPr>
          <w:trHeight w:val="159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781"/>
              <w:ind w:left="0" w:right="459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</w:t>
            </w:r>
            <w:r/>
          </w:p>
          <w:p>
            <w:pPr>
              <w:pStyle w:val="781"/>
              <w:ind w:left="0" w:right="459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</w:t>
            </w:r>
            <w:r/>
          </w:p>
          <w:p>
            <w:pPr>
              <w:pStyle w:val="781"/>
              <w:ind w:left="0" w:right="459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/>
          </w:p>
          <w:p>
            <w:pPr>
              <w:pStyle w:val="781"/>
              <w:ind w:left="0" w:right="459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 № ____</w:t>
            </w:r>
            <w:r/>
          </w:p>
        </w:tc>
      </w:tr>
    </w:tbl>
    <w:p>
      <w:pPr>
        <w:pStyle w:val="78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8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8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8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/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социальной занятости инвалидов в</w:t>
      </w:r>
      <w:r/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4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Настоящий</w:t>
      </w:r>
      <w:r>
        <w:rPr>
          <w:rFonts w:ascii="Times New Roman" w:hAnsi="Times New Roman" w:cs="Times New Roman"/>
          <w:sz w:val="28"/>
          <w:szCs w:val="28"/>
        </w:rPr>
        <w:t xml:space="preserve"> Порядок организации социальной занятости инвалидов в Новосибирской области (далее  ̶ Порядок) определяет порядок организации социальной занятости инвалидов, не занятых в соответствии с законодательством Российской Федерации о занятости населения в связи с</w:t>
      </w:r>
      <w:r>
        <w:rPr>
          <w:rFonts w:ascii="Times New Roman" w:hAnsi="Times New Roman" w:cs="Times New Roman"/>
          <w:sz w:val="28"/>
          <w:szCs w:val="28"/>
        </w:rPr>
        <w:t xml:space="preserve"> имеющимися значительно выраженными ограничениями способности к трудовой деятельности и способных к осуществлению несложных (простых) видов деятельности исключительно с помощью других лиц, в том числе получающих социальные услуги в стационарной форме 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учреждениях социального обслуживания, подведомственных министерству труда и социального развития Новосибирской области (далее - министерство), а также устанавливает перечень прав и обязанностей лиц, задействованных в оказании указанной услуги.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Социальная занятость инвалидов трудоспособного возраста не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трудовой деятельности в соответствии с законодательством Российской Федерации о занятости населения, направлена на социальную адаптацию и вовлеченность инвалидов в жизнь общества и осуществляется с согласия инвалидов на безвозмездной основе.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В организациях Новосибирской области, уполномоченных на осуществление деятельности по организации социальной занятости и</w:t>
      </w:r>
      <w:r>
        <w:rPr>
          <w:rFonts w:ascii="Times New Roman" w:hAnsi="Times New Roman" w:cs="Times New Roman"/>
          <w:sz w:val="28"/>
          <w:szCs w:val="28"/>
        </w:rPr>
        <w:t xml:space="preserve">нвалидов, не занятых в соответствии с законодательством Российской Федерации о занятости населения (далее – уполномоченные организации) в целях организации социальной занятости инвалидов обеспечивается:</w:t>
      </w:r>
      <w:r/>
    </w:p>
    <w:p>
      <w:pPr>
        <w:pStyle w:val="842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оценка способности инвалида, имеющего в индивидуальной программе реабилитации или абилитации, выданной федеральным учреждением медико-социальной экспертизы, заключение 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ему 3 степени ограничения способности к трудовой деятельности, осуществлять несложные (простые) виды деятельности исключительно со значительной помощью других лиц и определения нуждаемости такого инвалида в организации социальной занятости.</w:t>
      </w:r>
      <w:r/>
    </w:p>
    <w:p>
      <w:pPr>
        <w:pStyle w:val="842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Несложные (простые) виды деятельности не требуют получения специального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ования, а их выполнение обеспечивается путем обучения элементарным навыкам и умениям (профессиональным, социальным, коммуникативным, культурным, бытовым), в том числе правилам выполнения простых целенаправленных действий со значительной помощью других лиц;</w:t>
      </w:r>
      <w:r/>
    </w:p>
    <w:p>
      <w:pPr>
        <w:pStyle w:val="842"/>
        <w:ind w:firstLine="540"/>
        <w:jc w:val="both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организация структурных подразделений (далее - мастерские) для обеспечения обучения инвалидов, нуждающихся в организации социальной занятости, элементарным навыкам и умени</w:t>
      </w:r>
      <w:r>
        <w:rPr>
          <w:rFonts w:ascii="Times New Roman" w:hAnsi="Times New Roman" w:cs="Times New Roman"/>
          <w:sz w:val="28"/>
          <w:szCs w:val="28"/>
        </w:rPr>
        <w:t xml:space="preserve">ям (профессиональным, социальным, коммуникативным, культурным, бытовым), соответствующим способностям инвалидов и не требующим получения специального образования, и их участия в выполнении несложных (простых) видах труда со значительной помощью других лиц.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мастерских одновременно может реализовываться социальная занятость и сопровождаемая трудовая деятельность.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 организации социальной занятости инвалидов учреждением осуществляется межведомственное взаимодействие с органами исполнительной власти Новосибирской области и организациями Новосибирской области.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4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Порядок признания инвалида нуждающимся</w:t>
      </w:r>
      <w:r/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социальной занятости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P47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2.1. Основанием для рассмотрения вопроса об организации социальной занятости является поданное инвалидом или его законным представителем в письменной или электронной форме заявление об организации социальной занятости (далее - заявление</w:t>
      </w:r>
      <w:r>
        <w:rPr>
          <w:rFonts w:ascii="Times New Roman" w:hAnsi="Times New Roman" w:cs="Times New Roman"/>
          <w:sz w:val="28"/>
          <w:szCs w:val="28"/>
        </w:rPr>
        <w:t xml:space="preserve">) либо обращение в интересах инвалида иных граждан, обращение государственных органов, органов местного самоуправления, общественных объединений непосредственно в учреждение либо переданные заявление или обращение в рамках межведомственного взаимодействия.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48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2.2. Для признания инвалида нуждающимся в организации социальной занятости, граждане представляют в уполномоченную организацию следующие документы: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hyperlink w:tooltip="#P140" w:anchor="P140" w:history="1">
        <w:r>
          <w:rPr>
            <w:rFonts w:ascii="Times New Roman" w:hAnsi="Times New Roman" w:cs="Times New Roman"/>
            <w:sz w:val="28"/>
            <w:szCs w:val="28"/>
          </w:rPr>
          <w:t xml:space="preserve"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личность гражданина;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индивидуальную программу реабилитации или абилитации, выданную федеральным учреждением медико-социальной экспертизы;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об установлении 3 степени ограничения способности к трудовой деятельности;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(справка) медицинской организации о состоянии здоровья и отсутствии у гражданина медицинских противопоказаний к социальной занятости.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Комиссия, созданная в уполномоченной организации в течение 10 рабочих дней со дня поступления пакета документов в учреждение, в</w:t>
      </w:r>
      <w:r>
        <w:rPr>
          <w:rFonts w:ascii="Times New Roman" w:hAnsi="Times New Roman" w:cs="Times New Roman"/>
          <w:sz w:val="28"/>
          <w:szCs w:val="28"/>
        </w:rPr>
        <w:t xml:space="preserve"> целях определения нуждаемости инвалида в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  <w:t xml:space="preserve">, приглашает на ознакомительное (пробное) участие инвалида в различных производственных процессах, доступных для инвалида несложных (простых) видов труда (трудовых операций) в соответствии с его способностями и предпочтениями, и </w:t>
      </w:r>
      <w:r>
        <w:rPr>
          <w:rFonts w:ascii="Times New Roman" w:hAnsi="Times New Roman" w:cs="Times New Roman"/>
          <w:sz w:val="28"/>
          <w:szCs w:val="28"/>
        </w:rPr>
        <w:t xml:space="preserve">определяет нуждаемость инвалида в социальной занятости на основании оценки навыков инвалида: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социально-коммуникативные;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гигиенические;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двигательные;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бытовые;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способности и предпочтения к труду;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социальное взаимодействие.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2.4. </w:t>
      </w:r>
      <w:r>
        <w:rPr>
          <w:rFonts w:ascii="Times New Roman" w:hAnsi="Times New Roman" w:cs="Times New Roman"/>
          <w:sz w:val="28"/>
          <w:szCs w:val="28"/>
        </w:rPr>
        <w:t xml:space="preserve">Решение о признании инвалида нуждающимся в социальной занятости оформляется приказом уполномоченной организации.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Уведомление о принятом решении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в течение трех рабочих дней со дня его принятия направляется (вручается) заявителю.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 Основаниями для отказа инвалиду в социальной занятости являются: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документов, указанных в </w:t>
      </w:r>
      <w:hyperlink w:tooltip="#P47" w:anchor="P47" w:history="1">
        <w:r>
          <w:rPr>
            <w:rFonts w:ascii="Times New Roman" w:hAnsi="Times New Roman" w:cs="Times New Roman"/>
            <w:sz w:val="28"/>
            <w:szCs w:val="28"/>
          </w:rPr>
          <w:t xml:space="preserve"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tooltip="#P48" w:anchor="P48" w:history="1">
        <w:r>
          <w:rPr>
            <w:rFonts w:ascii="Times New Roman" w:hAnsi="Times New Roman" w:cs="Times New Roman"/>
            <w:sz w:val="28"/>
            <w:szCs w:val="28"/>
          </w:rPr>
          <w:t xml:space="preserve">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документов, которые предоставляются заявителем по собственной инициативе);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представление недостоверных сведений;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медицинских противопоказаний для предоставления услуг по социальной занятости в соответствии с заключением медицинской организации. 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4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Порядок организации социальной занятости инвалидов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 С инвалидом, признанным нуждающимся в организации социальной занятости, уполномоченная организация заключает </w:t>
      </w:r>
      <w:r>
        <w:rPr>
          <w:rFonts w:ascii="Times New Roman" w:hAnsi="Times New Roman" w:cs="Times New Roman"/>
          <w:sz w:val="28"/>
          <w:szCs w:val="28"/>
        </w:rPr>
        <w:t xml:space="preserve">договор о предоставлении услуг по социальной занятости по форме согласно приложению № 2 к настоящему Порядку.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Организация социальной занятости инвалида осуществляется в виде предоставления услуг по социальной занятости.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Сотрудником организации осуществляется индивидуальное обучение инвалида элементарным навыкам и умениям</w:t>
      </w:r>
      <w:r>
        <w:rPr>
          <w:rFonts w:ascii="Times New Roman" w:hAnsi="Times New Roman" w:cs="Times New Roman"/>
          <w:sz w:val="28"/>
          <w:szCs w:val="28"/>
        </w:rPr>
        <w:t xml:space="preserve">, необходимым для выполнения подобранного вида деятельности, норм и правил взаимоотношений, социального взаимодействия участников социальной занятости, социально-средовая ориентация в условиях выбранной мастерской, формирование мотивации к участию в труде.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индивидуального обучения инвалида определяется комиссией уполномоченной организации исходя из освоения инвалидом несложных (простых) видов труда со значительной помощью других лиц.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 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создаются условия для адаптации инвалида к осуществлению деятельности в рамках социальной занятости, включающие в том числе: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постоянной помощи других лиц для выполнения подобранных видов деятельности;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социально-психологическое сопровождение, предусматривающее содействие в</w:t>
      </w:r>
      <w:r>
        <w:rPr>
          <w:rFonts w:ascii="Times New Roman" w:hAnsi="Times New Roman" w:cs="Times New Roman"/>
          <w:sz w:val="28"/>
          <w:szCs w:val="28"/>
        </w:rPr>
        <w:t xml:space="preserve"> межличностной коммуникации, основы эффективного общения (диалогическая форма общения); в выполнении доступных социальных ролей (профессиональных, общественных); в соблюдении морально-этических норм, норм общественной морали и правил современного общества;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отдыха;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персональную помощь в осуществлении действий (участия в действиях) по передвижению, самообслуживанию, соблюдению санитарно-гигиенических правил, получению информации, ориентации и коммуникации.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 Для инвалидов, имеющих выраженные затруднения в выполнении несложных (простых) видов труда со значительной помощью других лиц, организуются несложные (простые) виды развивающей (целен</w:t>
      </w:r>
      <w:r>
        <w:rPr>
          <w:rFonts w:ascii="Times New Roman" w:hAnsi="Times New Roman" w:cs="Times New Roman"/>
          <w:sz w:val="28"/>
          <w:szCs w:val="28"/>
        </w:rPr>
        <w:t xml:space="preserve">аправленной) деятельности путем моделирования бытовых и социальных ситуаций, участие инвалидов в которых способствует развитию и поддержанию коммуникативных, гигиенических, двигательных, бытовых и трудовых навыков, навыков принятия решений и их исполнения.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видов деятельности для таких инвалидов с их участием, в том числе в каком-либо производственном процессе, осуществляются с учетом динамики состояния здоровья и способности участвовать в социальной занятости.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 При организации социальной занятости соблюдается: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социальной занятости для инвалидов, в том числе организация доступной для инвалидов среды и приближенность к месту их проживания;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свобода инвалида в выборе видов деятельности в рамках социальной занятости и организаций, реализующих социальную занятость;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ориентация социальной занятости на развитие способностей инвалидов участвовать в продуктивной деятельности в целях социальной адаптации и вовлечения в жизнь общества;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ориентация на производство востребованных обществом продукции и услуг и на их реализацию;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регулярный характер участия инвалидов в социальной занятости;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инвалидов о возможности участия в социальной занятости, в том числе при обращении за социальными услугами.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4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4. Перечень услуг, предоставляемых учреждением инвалидам</w:t>
      </w:r>
      <w:r/>
    </w:p>
    <w:p>
      <w:pPr>
        <w:pStyle w:val="8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социальной занятости и Порядок их учета</w:t>
      </w:r>
      <w:r/>
    </w:p>
    <w:p>
      <w:pPr>
        <w:pStyle w:val="8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При организации социальной занятости инвалидам могут предоставляться, в том числе, следующие услуги: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направленные на определение нуждаемости инвалидов в организации социальной занятости, на подбор подходящих инвалидам несложных (простых) видов труда;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направленные на обучение инвалидов навыкам, необходимым для выполнения трудовых действий, правилам трудового распорядка, нормам труда и социального взаимодействия;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аправленные на организацию доступных для инвалидов производственных процессов с несложными (простыми) видами труда, на адаптацию рабочих мест для участия инвалидов в производственных процессах и на обеспечение доступных для инвалидов трудовых обязанностей;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направленные на организацию несложных (простых) видов развивающей (целенаправленной) деятельности для инвалидов, имеющих выраженные затруднения в участии в труде с помощью других лиц;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направленные на организацию социального взаимодействия участников социальной занятости, а также на организацию их отдыха (перерывов) во время социальной занятости;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</w:t>
      </w:r>
      <w:r>
        <w:rPr>
          <w:rFonts w:ascii="Times New Roman" w:hAnsi="Times New Roman" w:cs="Times New Roman"/>
          <w:sz w:val="28"/>
          <w:szCs w:val="28"/>
        </w:rPr>
        <w:t xml:space="preserve">уги, обеспечивающие участие инвалидов в социальной занятости, включая социально-психологическое, социально-педагогическое сопровождение и ассистивные услуги по персональной помощи инвалидам в передвижении, получении информации, в ориентации и коммуникации;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обеспечивающие уход за инвалидами во время их участия в социальной занятости (помощь при одевании и раздевании, смене абсорбирующего белья, приеме пищи, питья и других гигиенических процедурах);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сопровождению передвижения инвалидов от места жительства к месту участия в социальной занятости и обратно.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Сотрудник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фиксирует информацию о предоставленных инвалидам услугах в рамках реализации социальной занятости в журнале учета предоставления услуг по социальной занятости по форме согласно приложению № 3 к настоящему Порядку.</w:t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2976" w:right="0" w:firstLine="0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left="2976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left="2976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инвалидов в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    организацию,     уполномоченную   на осуществление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по организации социальной занятости инвалидов)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 гражданина)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(дата рождения гражданина)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(СНИЛС гражданина)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адрес места жительств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1276" w:right="0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(контактный телефон, e-mail (при наличии)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-709" w:right="0" w:firstLine="0"/>
        <w:jc w:val="center"/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left="-709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признать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указывается фамилия, имя, отчество (последнее при наличии) заявителя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либо гражданина, в отношении которого подается заявление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нуждающимся   в   организации   социальной  занятости  и  предоставлять следующие услуги (отметить нужное):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 направленные на определение нуждаемости инвалидов в организации социальной занятости,   на   подбор   подходящих   инвалидам  несложных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(простых) видов труда;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направленные  на  обучение  инвалидов навыкам, необходимым для выполнения трудовых  действий,  правилам  трудового распорядка,  нормам труда и социального взаимодействия;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 направленные   </w:t>
      </w:r>
      <w:r>
        <w:rPr>
          <w:rFonts w:ascii="Times New Roman" w:hAnsi="Times New Roman" w:cs="Times New Roman"/>
          <w:sz w:val="28"/>
          <w:szCs w:val="28"/>
        </w:rPr>
        <w:t xml:space="preserve">на   организацию   доступных   для   инвалидов производственных  процессов с несложными (простыми)  видами  труда,  на адаптацию рабочих мест для участия инвалидов в производственных процессах и на обеспечение доступных для инвалидов трудовых обязанностей;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 направленные   на   организацию   несложных  (простых)  видов развивающей (целенаправленной)  деятельности  для   инвалидов,  имеющих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выраженные затруднения в участии в труде с помощью других лиц;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 направленные   на   организацию   социального  взаимодействия участников  социальной  занятости, а  также на  организацию  их  отдыха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(перерывов) во время социальной занятости;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 обеспечивающие  участие  инвалидов  в  социальной  занятости, включая       социально-психологическое,       социально-педагогическое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сопровождение  ассистивные  услуги  по  персональной  помощи инвалидам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передвижении, получении информации, в ориентации и коммуникации;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услуги,  обеспечивающие  уход  за  инвалидами  во  время  их  участия в социальной  занятости  (помощь  при  одевании   и   раздевании,   смене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абсорбирующего   белья,   приеме   пищи,   питья   и  других  гигиенических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процедурах);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услуги  по  сопровождению  передвижения инвалидов от места жительства к месту участия в социальной занятости и обратно.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и полноту настоящих сведений подтверждаю.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 обработку  персональных  данных  о себе в соответствии со </w:t>
      </w:r>
      <w:hyperlink r:id="rId9" w:tooltip="https://login.consultant.ru/link/?req=doc&amp;base=LAW&amp;n=439201&amp;dst=100278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9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 закона  от 27 июля 2006 года № 152-ФЗ «О персональных данных»</w:t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(согласен/не согласен)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  ___________________________________  «___» _____________ г.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фамилия, имя, отчество (последнее - при наличии)  (дата заполнения заявления)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2"/>
        <w:numPr>
          <w:ilvl w:val="0"/>
          <w:numId w:val="0"/>
        </w:numPr>
        <w:ind w:left="411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left="411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Порядку организации социальной занятости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left="411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инвалидов в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услуг по социальной занятости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                                                               «____»___________ 20___ года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lef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            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(полное   наименование   организации,   уполномоченной   на   осуществление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деятельности по организации социальной занятости инвалидов)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именуемое        в       дальнейшем       «Исполнитель»,       в       лице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(последнее - при наличии)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(основание правомочия: устав, доверенность, др.)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гражданина,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признанного</w:t>
      </w:r>
      <w:r>
        <w:rPr>
          <w:rFonts w:ascii="Times New Roman" w:hAnsi="Times New Roman" w:cs="Times New Roman"/>
          <w:sz w:val="24"/>
          <w:szCs w:val="24"/>
        </w:rPr>
        <w:t xml:space="preserve"> нуждающимся  в  организации  социальной занятости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_________________________________, именуемый в дальнейшем «Заказчик»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и реквизиты документа, удостоверяющего личность Заказчика)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проживающий по адресу: 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(адрес места жительства Заказчика)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при наличии) законного представителя Заказчика)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и реквизиты документа, удостоверяющего личность законного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 Заказчика)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(основание правомочия)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проживающий по адресу:______________________________________________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адрес места жительства законного представителя Заказчика)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 другой  стороны,  совместно  именуемые в дальнейшем Сторонами, заключили настоящий Договор о нижеследующем.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I. Предмет Договора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1. Заказчик  поручает,  а  Исполнитель  обязуется  оказать  услуги  по социальной  занятости  Заказчику  на основании перечня услуг, отмеченного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заявлении Заказчика.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Исполнитель не вправе передавать исполнение обязательств по настоящему Договору третьим лицам.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 Сроки  и  условия предоставления конкретной Услуги осуществляются с учетом  динамики  состояния здоровья и способности участвовать в социальной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занятости Заказчика, но не более 1 часа в день.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 Место оказания Услуг: 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адрес места оказания услуг)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4. По  результатам  оказания  Услуг  Исполнитель заносит информацию об услуге в журнал учета предоставления услуг по социальной занятости.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II. Права и обязанности Сторон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5. Исполнитель обязан: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а) предоставлять Заказчику Услуги надлежащего качества в соответствии с Порядком организации социальной занятости инвалидов в Новосибирской области и настоящим Договором;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б) 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предоставления этих Услуг;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в) 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г) обеспечивать сохранность личных вещей и ценностей Заказчика;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д) 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е) вести учет Услуг, оказанных Заказчику;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ж) исполнять иные обязанности в соответствии с настоящим Договором и нормами действующего законодательства.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6. Исполнитель имеет право: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а) 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Услуги, медицинских противопоказаний, указанных в заключении уполномоченной медицинской организации;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б) требовать от Заказчика соблюдения условий настоящего Договора;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в) получать от Заказчика информацию (сведения, документы), необходимые для выполнения своих обязательств по настоящему Договору.</w:t>
      </w:r>
      <w:r>
        <w:rPr>
          <w:rFonts w:ascii="Times New Roman" w:hAnsi="Times New Roman" w:cs="Times New Roman"/>
          <w:sz w:val="28"/>
          <w:szCs w:val="28"/>
        </w:rPr>
        <w:t xml:space="preserve">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7. Заказчик (законный представитель Заказчика) обязан: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а) соблюдать сроки и условия настоящего Договора;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б) представлять в соответствии с нормативными правовыми актами Новосибирской области сведения и документы, необходимые для предоставления Услуг, предусмотренные Порядком организации социальной занятости инвалидов в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в) 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г) уведомлять в письменной форме Исполнителя об отказе от получения Услуг, предусмотренных настоящим Договором;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д) соблюдать Порядок организации социальной занятости инвалидов в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е) сообщать Исполнителю о выявленных нарушениях Порядка организации социальной занятости инвалидов в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8. Заказчик (законный представитель Заказчика) имеет право: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а) 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б) потребовать расторжения настоящего Договора при нарушении Исполнителем условий настоящего Договора.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III. Стоимость услуг, сроки и порядок их оплаты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Услуги по социальной занятости, предусмотренные настоящим Договором, предоставляются бесплатно.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IV. Основания изменения и расторжения Договора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10. Условия, на которых заключен настоящий Договор, могут быть изменены по соглашению Сторон либо иными способами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11. 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spacing w:before="0" w:beforeAutospacing="0" w:after="0"/>
      </w:pPr>
      <w:r>
        <w:rPr>
          <w:rFonts w:ascii="Times New Roman" w:hAnsi="Times New Roman" w:cs="Times New Roman"/>
          <w:sz w:val="28"/>
          <w:szCs w:val="28"/>
        </w:rPr>
        <w:t xml:space="preserve">12. Настоящий Договор считается расторгнутым со дня уведомления Исполнителем в письменной форме Заказчика об отказе от исполнения настоящего Договора, если иные сроки не установлены настоящим Договором.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V. Ответственность за неисполнение или ненадлежащее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исполнение обязательств по Договору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VI. Срок действия Договора и другие условия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  <w:spacing w:before="0" w:beforeAutospacing="0" w:after="0" w:afterAutospacing="0"/>
        <w:tabs>
          <w:tab w:val="left" w:pos="567" w:leader="none"/>
          <w:tab w:val="clear" w:pos="708" w:leader="none"/>
          <w:tab w:val="left" w:pos="709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14. Настоящий  Договор вступает в силу со дня его подписания Сторонами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и действует до ________________________.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(указать срок)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2"/>
        <w:ind w:firstLine="540"/>
        <w:jc w:val="both"/>
        <w:spacing w:before="0" w:beforeAutospacing="0"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15. Договор составлен в двух экземплярах, имеющих равную юридическую силу.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center"/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VII. Адрес (место нахождения, место жительства, реквизиты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 подписи Сторон)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61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92"/>
        <w:gridCol w:w="5023"/>
      </w:tblGrid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 нахождения) 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исполнителя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руководителя 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023" w:type="dxa"/>
            <w:textDirection w:val="lrTb"/>
            <w:noWrap w:val="false"/>
          </w:tcPr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документа, удостоверяющего личность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 законного представителя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документа, удостоверяющего личность, законного представителя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законного представителя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592" w:type="dxa"/>
            <w:textDirection w:val="lrTb"/>
            <w:noWrap w:val="false"/>
          </w:tcPr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___________________/____________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наличии), личная 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023" w:type="dxa"/>
            <w:textDirection w:val="lrTb"/>
            <w:noWrap w:val="false"/>
          </w:tcPr>
          <w:p>
            <w:pPr>
              <w:pStyle w:val="8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наличии), личная подпись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4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2"/>
        <w:numPr>
          <w:ilvl w:val="0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p>
      <w:pPr>
        <w:pStyle w:val="842"/>
        <w:numPr>
          <w:ilvl w:val="0"/>
          <w:numId w:val="0"/>
        </w:numPr>
        <w:jc w:val="right"/>
        <w:outlineLvl w:val="1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jc w:val="center"/>
    </w:pPr>
    <w:fldSimple w:instr="PAGE \* MERGEFORMAT">
      <w:r>
        <w:t xml:space="preserve">1</w:t>
      </w:r>
    </w:fldSimple>
    <w:r/>
    <w:r/>
  </w:p>
  <w:p>
    <w:pPr>
      <w:pStyle w:val="8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78">
    <w:name w:val="Hyperlink"/>
    <w:uiPriority w:val="99"/>
    <w:unhideWhenUsed/>
    <w:rPr>
      <w:color w:val="0000ff" w:themeColor="hyperlink"/>
      <w:u w:val="single"/>
    </w:rPr>
  </w:style>
  <w:style w:type="character" w:styleId="779">
    <w:name w:val="footnote reference"/>
    <w:basedOn w:val="814"/>
    <w:uiPriority w:val="99"/>
    <w:unhideWhenUsed/>
    <w:rPr>
      <w:vertAlign w:val="superscript"/>
    </w:rPr>
  </w:style>
  <w:style w:type="character" w:styleId="780">
    <w:name w:val="endnote reference"/>
    <w:basedOn w:val="814"/>
    <w:uiPriority w:val="99"/>
    <w:semiHidden/>
    <w:unhideWhenUsed/>
    <w:rPr>
      <w:vertAlign w:val="superscript"/>
    </w:rPr>
  </w:style>
  <w:style w:type="paragraph" w:styleId="781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2">
    <w:name w:val="Heading 1"/>
    <w:basedOn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3">
    <w:name w:val="Heading 2"/>
    <w:basedOn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4">
    <w:name w:val="Heading 3"/>
    <w:basedOn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5">
    <w:name w:val="Heading 4"/>
    <w:basedOn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1 Char"/>
    <w:basedOn w:val="814"/>
    <w:uiPriority w:val="9"/>
    <w:qFormat/>
    <w:rPr>
      <w:rFonts w:ascii="Arial" w:hAnsi="Arial" w:eastAsia="Arial" w:cs="Arial"/>
      <w:sz w:val="40"/>
      <w:szCs w:val="40"/>
    </w:rPr>
  </w:style>
  <w:style w:type="character" w:styleId="792">
    <w:name w:val="Heading 2 Char"/>
    <w:basedOn w:val="814"/>
    <w:uiPriority w:val="9"/>
    <w:qFormat/>
    <w:rPr>
      <w:rFonts w:ascii="Arial" w:hAnsi="Arial" w:eastAsia="Arial" w:cs="Arial"/>
      <w:sz w:val="34"/>
    </w:rPr>
  </w:style>
  <w:style w:type="character" w:styleId="793">
    <w:name w:val="Heading 3 Char"/>
    <w:basedOn w:val="814"/>
    <w:uiPriority w:val="9"/>
    <w:qFormat/>
    <w:rPr>
      <w:rFonts w:ascii="Arial" w:hAnsi="Arial" w:eastAsia="Arial" w:cs="Arial"/>
      <w:sz w:val="30"/>
      <w:szCs w:val="30"/>
    </w:rPr>
  </w:style>
  <w:style w:type="character" w:styleId="794">
    <w:name w:val="Heading 4 Char"/>
    <w:basedOn w:val="8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basedOn w:val="8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basedOn w:val="8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basedOn w:val="8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basedOn w:val="8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basedOn w:val="8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0">
    <w:name w:val="Title Char"/>
    <w:basedOn w:val="814"/>
    <w:uiPriority w:val="10"/>
    <w:qFormat/>
    <w:rPr>
      <w:sz w:val="48"/>
      <w:szCs w:val="48"/>
    </w:rPr>
  </w:style>
  <w:style w:type="character" w:styleId="801">
    <w:name w:val="Subtitle Char"/>
    <w:basedOn w:val="814"/>
    <w:uiPriority w:val="11"/>
    <w:qFormat/>
    <w:rPr>
      <w:sz w:val="24"/>
      <w:szCs w:val="24"/>
    </w:rPr>
  </w:style>
  <w:style w:type="character" w:styleId="802">
    <w:name w:val="Quote Char"/>
    <w:uiPriority w:val="29"/>
    <w:qFormat/>
    <w:rPr>
      <w:i/>
    </w:rPr>
  </w:style>
  <w:style w:type="character" w:styleId="803">
    <w:name w:val="Intense Quote Char"/>
    <w:uiPriority w:val="30"/>
    <w:qFormat/>
    <w:rPr>
      <w:i/>
    </w:rPr>
  </w:style>
  <w:style w:type="character" w:styleId="804">
    <w:name w:val="Header Char"/>
    <w:uiPriority w:val="99"/>
    <w:qFormat/>
  </w:style>
  <w:style w:type="character" w:styleId="805">
    <w:name w:val="Footer Char"/>
    <w:basedOn w:val="814"/>
    <w:uiPriority w:val="99"/>
    <w:qFormat/>
  </w:style>
  <w:style w:type="character" w:styleId="806">
    <w:name w:val="Caption Char"/>
    <w:uiPriority w:val="99"/>
    <w:qFormat/>
  </w:style>
  <w:style w:type="character" w:styleId="807">
    <w:name w:val="Интернет-ссылка"/>
    <w:uiPriority w:val="99"/>
    <w:unhideWhenUsed/>
    <w:rPr>
      <w:color w:val="0000ff" w:themeColor="hyperlink"/>
      <w:u w:val="single"/>
    </w:rPr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Привязка сноски"/>
    <w:rPr>
      <w:vertAlign w:val="superscript"/>
    </w:rPr>
  </w:style>
  <w:style w:type="character" w:styleId="810">
    <w:name w:val="Footnote Characters"/>
    <w:uiPriority w:val="99"/>
    <w:unhideWhenUsed/>
    <w:qFormat/>
    <w:rPr>
      <w:vertAlign w:val="superscript"/>
    </w:rPr>
  </w:style>
  <w:style w:type="character" w:styleId="811">
    <w:name w:val="Endnote Text Char"/>
    <w:uiPriority w:val="99"/>
    <w:qFormat/>
    <w:rPr>
      <w:sz w:val="20"/>
    </w:rPr>
  </w:style>
  <w:style w:type="character" w:styleId="812">
    <w:name w:val="Привязка концевой сноски"/>
    <w:rPr>
      <w:vertAlign w:val="superscript"/>
    </w:rPr>
  </w:style>
  <w:style w:type="character" w:styleId="813">
    <w:name w:val="Endnote Characters"/>
    <w:uiPriority w:val="99"/>
    <w:semiHidden/>
    <w:unhideWhenUsed/>
    <w:qFormat/>
    <w:rPr>
      <w:vertAlign w:val="superscript"/>
    </w:rPr>
  </w:style>
  <w:style w:type="character" w:styleId="814" w:default="1">
    <w:name w:val="Default Paragraph Font"/>
    <w:uiPriority w:val="1"/>
    <w:semiHidden/>
    <w:unhideWhenUsed/>
    <w:qFormat/>
  </w:style>
  <w:style w:type="paragraph" w:styleId="815">
    <w:name w:val="Заголовок"/>
    <w:basedOn w:val="781"/>
    <w:next w:val="81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16">
    <w:name w:val="Body Text"/>
    <w:basedOn w:val="781"/>
    <w:pPr>
      <w:spacing w:before="0" w:after="140" w:line="276" w:lineRule="auto"/>
    </w:pPr>
  </w:style>
  <w:style w:type="paragraph" w:styleId="817">
    <w:name w:val="List"/>
    <w:basedOn w:val="816"/>
    <w:rPr>
      <w:rFonts w:cs="Droid Sans Devanagari"/>
    </w:rPr>
  </w:style>
  <w:style w:type="paragraph" w:styleId="818">
    <w:name w:val="Caption"/>
    <w:basedOn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9">
    <w:name w:val="Указатель"/>
    <w:basedOn w:val="781"/>
    <w:qFormat/>
    <w:pPr>
      <w:suppressLineNumbers/>
    </w:pPr>
    <w:rPr>
      <w:rFonts w:cs="Droid Sans Devanagari"/>
    </w:rPr>
  </w:style>
  <w:style w:type="paragraph" w:styleId="820">
    <w:name w:val="List Paragraph"/>
    <w:basedOn w:val="781"/>
    <w:uiPriority w:val="34"/>
    <w:qFormat/>
    <w:pPr>
      <w:contextualSpacing/>
      <w:ind w:left="720" w:firstLine="0"/>
      <w:spacing w:before="0" w:after="160"/>
    </w:pPr>
  </w:style>
  <w:style w:type="paragraph" w:styleId="821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2">
    <w:name w:val="Title"/>
    <w:basedOn w:val="7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3">
    <w:name w:val="Subtitle"/>
    <w:basedOn w:val="781"/>
    <w:uiPriority w:val="11"/>
    <w:qFormat/>
    <w:pPr>
      <w:spacing w:before="200" w:after="200"/>
    </w:pPr>
    <w:rPr>
      <w:sz w:val="24"/>
      <w:szCs w:val="24"/>
    </w:rPr>
  </w:style>
  <w:style w:type="paragraph" w:styleId="824">
    <w:name w:val="Quote"/>
    <w:basedOn w:val="781"/>
    <w:uiPriority w:val="29"/>
    <w:qFormat/>
    <w:pPr>
      <w:ind w:left="720" w:right="720" w:firstLine="0"/>
    </w:pPr>
    <w:rPr>
      <w:i/>
    </w:rPr>
  </w:style>
  <w:style w:type="paragraph" w:styleId="825">
    <w:name w:val="Intense Quote"/>
    <w:basedOn w:val="781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6">
    <w:name w:val="Верхний и нижний колонтитулы"/>
    <w:basedOn w:val="781"/>
    <w:qFormat/>
  </w:style>
  <w:style w:type="paragraph" w:styleId="827">
    <w:name w:val="Header"/>
    <w:basedOn w:val="781"/>
    <w:uiPriority w:val="99"/>
    <w:unhideWhenUsed/>
    <w:pPr>
      <w:jc w:val="center"/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Footer"/>
    <w:basedOn w:val="7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9">
    <w:name w:val="footnote text"/>
    <w:basedOn w:val="7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0">
    <w:name w:val="endnote text"/>
    <w:basedOn w:val="7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1">
    <w:name w:val="toc 1"/>
    <w:basedOn w:val="781"/>
    <w:uiPriority w:val="39"/>
    <w:unhideWhenUsed/>
    <w:pPr>
      <w:ind w:left="0" w:right="0" w:firstLine="0"/>
      <w:spacing w:before="0" w:after="57"/>
    </w:pPr>
  </w:style>
  <w:style w:type="paragraph" w:styleId="832">
    <w:name w:val="toc 2"/>
    <w:basedOn w:val="781"/>
    <w:uiPriority w:val="39"/>
    <w:unhideWhenUsed/>
    <w:pPr>
      <w:ind w:left="283" w:right="0" w:firstLine="0"/>
      <w:spacing w:before="0" w:after="57"/>
    </w:pPr>
  </w:style>
  <w:style w:type="paragraph" w:styleId="833">
    <w:name w:val="toc 3"/>
    <w:basedOn w:val="781"/>
    <w:uiPriority w:val="39"/>
    <w:unhideWhenUsed/>
    <w:pPr>
      <w:ind w:left="567" w:right="0" w:firstLine="0"/>
      <w:spacing w:before="0" w:after="57"/>
    </w:pPr>
  </w:style>
  <w:style w:type="paragraph" w:styleId="834">
    <w:name w:val="toc 4"/>
    <w:basedOn w:val="781"/>
    <w:uiPriority w:val="39"/>
    <w:unhideWhenUsed/>
    <w:pPr>
      <w:ind w:left="850" w:right="0" w:firstLine="0"/>
      <w:spacing w:before="0" w:after="57"/>
    </w:pPr>
  </w:style>
  <w:style w:type="paragraph" w:styleId="835">
    <w:name w:val="toc 5"/>
    <w:basedOn w:val="781"/>
    <w:uiPriority w:val="39"/>
    <w:unhideWhenUsed/>
    <w:pPr>
      <w:ind w:left="1134" w:right="0" w:firstLine="0"/>
      <w:spacing w:before="0" w:after="57"/>
    </w:pPr>
  </w:style>
  <w:style w:type="paragraph" w:styleId="836">
    <w:name w:val="toc 6"/>
    <w:basedOn w:val="781"/>
    <w:uiPriority w:val="39"/>
    <w:unhideWhenUsed/>
    <w:pPr>
      <w:ind w:left="1417" w:right="0" w:firstLine="0"/>
      <w:spacing w:before="0" w:after="57"/>
    </w:pPr>
  </w:style>
  <w:style w:type="paragraph" w:styleId="837">
    <w:name w:val="toc 7"/>
    <w:basedOn w:val="781"/>
    <w:uiPriority w:val="39"/>
    <w:unhideWhenUsed/>
    <w:pPr>
      <w:ind w:left="1701" w:right="0" w:firstLine="0"/>
      <w:spacing w:before="0" w:after="57"/>
    </w:pPr>
  </w:style>
  <w:style w:type="paragraph" w:styleId="838">
    <w:name w:val="toc 8"/>
    <w:basedOn w:val="781"/>
    <w:uiPriority w:val="39"/>
    <w:unhideWhenUsed/>
    <w:pPr>
      <w:ind w:left="1984" w:right="0" w:firstLine="0"/>
      <w:spacing w:before="0" w:after="57"/>
    </w:pPr>
  </w:style>
  <w:style w:type="paragraph" w:styleId="839">
    <w:name w:val="toc 9"/>
    <w:basedOn w:val="781"/>
    <w:uiPriority w:val="39"/>
    <w:unhideWhenUsed/>
    <w:pPr>
      <w:ind w:left="2268" w:right="0" w:firstLine="0"/>
      <w:spacing w:before="0" w:after="57"/>
    </w:pPr>
  </w:style>
  <w:style w:type="paragraph" w:styleId="840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1">
    <w:name w:val="table of figures"/>
    <w:basedOn w:val="781"/>
    <w:uiPriority w:val="99"/>
    <w:unhideWhenUsed/>
    <w:qFormat/>
    <w:pPr>
      <w:spacing w:before="0" w:after="0" w:afterAutospacing="0"/>
    </w:pPr>
  </w:style>
  <w:style w:type="paragraph" w:styleId="842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ru-RU" w:eastAsia="ru-RU" w:bidi="ar-SA"/>
    </w:rPr>
  </w:style>
  <w:style w:type="paragraph" w:styleId="843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2"/>
      <w:lang w:val="ru-RU" w:eastAsia="ru-RU" w:bidi="ar-SA"/>
    </w:rPr>
  </w:style>
  <w:style w:type="paragraph" w:styleId="844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2"/>
      <w:lang w:val="ru-RU" w:eastAsia="ru-RU" w:bidi="ar-SA"/>
    </w:rPr>
  </w:style>
  <w:style w:type="paragraph" w:styleId="845">
    <w:name w:val="Содержимое таблицы"/>
    <w:basedOn w:val="781"/>
    <w:qFormat/>
    <w:pPr>
      <w:suppressLineNumbers/>
    </w:pPr>
  </w:style>
  <w:style w:type="paragraph" w:styleId="846">
    <w:name w:val="Заголовок таблицы"/>
    <w:basedOn w:val="845"/>
    <w:qFormat/>
    <w:pPr>
      <w:jc w:val="center"/>
      <w:suppressLineNumbers/>
    </w:pPr>
    <w:rPr>
      <w:b/>
      <w:bCs/>
    </w:r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39201&amp;dst=1002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Янина Владимировна</dc:creator>
  <dc:description/>
  <dc:language>ru-RU</dc:language>
  <cp:revision>15</cp:revision>
  <dcterms:created xsi:type="dcterms:W3CDTF">2024-02-20T05:13:00Z</dcterms:created>
  <dcterms:modified xsi:type="dcterms:W3CDTF">2024-03-05T03:21:56Z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