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58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УТВЕРЖДЕНО</w:t>
      </w: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министерства</w:t>
      </w: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региональной политики</w:t>
      </w: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Новосибирской области</w:t>
      </w: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от___________ №_____</w:t>
      </w:r>
    </w:p>
    <w:p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оценки результатов социально значимых проектов социально ориентированных некоммерческих организаций – победителей конкурса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предост</w:t>
      </w:r>
      <w:r>
        <w:rPr>
          <w:rFonts w:ascii="Times New Roman" w:hAnsi="Times New Roman"/>
          <w:b/>
          <w:sz w:val="28"/>
        </w:rPr>
        <w:t xml:space="preserve">авление грантов в форме субсидий из областного бюджета Новосибирской области с участием софинансирования из Фонда – оператора президентских грантов по развитию гражданского общества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 xml:space="preserve">I</w:t>
      </w:r>
      <w:r>
        <w:rPr>
          <w:rFonts w:ascii="Times New Roman" w:hAnsi="Times New Roman"/>
          <w:b/>
          <w:sz w:val="28"/>
        </w:rPr>
        <w:t xml:space="preserve">. Общие положения</w:t>
      </w:r>
    </w:p>
    <w:p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</w:rPr>
      </w:pP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Настоящий Порядок в соответствии с Порядком опред</w:t>
      </w:r>
      <w:r>
        <w:rPr>
          <w:rFonts w:ascii="Times New Roman" w:hAnsi="Times New Roman"/>
          <w:sz w:val="28"/>
        </w:rPr>
        <w:t xml:space="preserve">еления объема и предоставления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в рамках мероприятий государственной программы Новосибирской</w:t>
      </w:r>
      <w:r>
        <w:rPr>
          <w:rFonts w:ascii="Times New Roman" w:hAnsi="Times New Roman"/>
          <w:sz w:val="28"/>
        </w:rPr>
        <w:t xml:space="preserve"> области «Развитие институтов региональной политики и гражданского общества в Новосибирской области», установленного постановлением Правительства Новосибирской области от 26.12.2018 № 570-п.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Оценка результатов реализации проектов, предусмотренная настоя</w:t>
      </w:r>
      <w:r>
        <w:rPr>
          <w:rFonts w:ascii="Times New Roman" w:hAnsi="Times New Roman"/>
          <w:sz w:val="28"/>
        </w:rPr>
        <w:t xml:space="preserve">щим Порядком, проводится в отношении социально значимых проектов социально ориентированных некоммерческих организаций</w:t>
      </w:r>
      <w:r>
        <w:rPr>
          <w:rFonts w:ascii="Times New Roman" w:hAnsi="Times New Roman"/>
          <w:sz w:val="28"/>
          <w:lang w:val="en-US"/>
        </w:rPr>
        <w:t xml:space="preserve"> 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  <w:lang w:val="en-US"/>
        </w:rPr>
        <w:t xml:space="preserve"> </w:t>
      </w:r>
      <w:r>
        <w:rPr>
          <w:rFonts w:ascii="Times New Roman" w:hAnsi="Times New Roman"/>
          <w:sz w:val="28"/>
        </w:rPr>
        <w:t xml:space="preserve">победителей конкурса на предоставление грантов в форме субсидий из областного бюджета Новосибирской области с участием софинансирования </w:t>
      </w:r>
      <w:r>
        <w:rPr>
          <w:rFonts w:ascii="Times New Roman" w:hAnsi="Times New Roman"/>
          <w:sz w:val="28"/>
        </w:rPr>
        <w:t xml:space="preserve">из Фонда – оператора президентских грантов по развитию гражданского общества (далее соответственно – организации – победители конкурса, конкурс, грант, проект, Фонд). 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 Оценка результатов проектов осуществляется в целях обеспечения эффективности и соверш</w:t>
      </w:r>
      <w:r>
        <w:rPr>
          <w:rFonts w:ascii="Times New Roman" w:hAnsi="Times New Roman"/>
          <w:sz w:val="28"/>
        </w:rPr>
        <w:t xml:space="preserve">енствования деятельности, связанной с подготовкой и проведением конкурсов, предоставлением грантов социально ориентированным некоммерческим организациям (включая информационное сопровождение конкурсов, оказание информационной, консультационной и методическ</w:t>
      </w:r>
      <w:r>
        <w:rPr>
          <w:rFonts w:ascii="Times New Roman" w:hAnsi="Times New Roman"/>
          <w:sz w:val="28"/>
        </w:rPr>
        <w:t xml:space="preserve">ой поддержки социально ориентированным некоммерческим организациям при разработке и реализации проектов, мониторинг проектов), в том числе формирования у организаций – победителей конкурса дополнительных стимулов к успешному выполнению проектов.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4. Министе</w:t>
      </w:r>
      <w:r>
        <w:rPr>
          <w:rFonts w:ascii="Times New Roman" w:hAnsi="Times New Roman"/>
          <w:sz w:val="28"/>
          <w:szCs w:val="28"/>
        </w:rPr>
        <w:t xml:space="preserve">рство региональной политики Новосибирской области (далее – министерство) вправе не проводить оценку проектов, реализация которых была прекращена досрочно в связи с расторжением соглашения (договора) </w:t>
      </w:r>
      <w:r>
        <w:rPr>
          <w:rFonts w:ascii="Times New Roman" w:hAnsi="Times New Roman"/>
          <w:sz w:val="28"/>
          <w:szCs w:val="28"/>
          <w:lang w:eastAsia="ru-RU"/>
        </w:rPr>
        <w:t xml:space="preserve">о предоставлении гранта организации</w:t>
      </w:r>
      <w:r>
        <w:rPr>
          <w:rFonts w:ascii="Times New Roman" w:hAnsi="Times New Roman"/>
          <w:sz w:val="28"/>
          <w:szCs w:val="28"/>
        </w:rPr>
        <w:t xml:space="preserve"> – </w:t>
      </w:r>
      <w:r>
        <w:rPr>
          <w:rFonts w:ascii="Times New Roman" w:hAnsi="Times New Roman"/>
          <w:sz w:val="28"/>
          <w:szCs w:val="28"/>
          <w:lang w:eastAsia="ru-RU"/>
        </w:rPr>
        <w:t xml:space="preserve">победителю конкурса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 – соглашение).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Оценка результатов проектов включает следующие этапы: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оценка результатов проектов организациями – победителями конкурса, реализовавшими проекты;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оценка результатов проектов министерством на основе информации, собранной в ходе мониторинга реализации проектов и предоставленной организациями-победителями отчетности;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оценка результатов проектов заинтересованными сторонам</w:t>
      </w:r>
      <w:r>
        <w:rPr>
          <w:rFonts w:ascii="Times New Roman" w:hAnsi="Times New Roman"/>
          <w:color w:val="000000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;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 </w:t>
      </w:r>
      <w:r>
        <w:rPr>
          <w:rFonts w:ascii="Times New Roman" w:hAnsi="Times New Roman"/>
          <w:color w:val="000000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одведение итогов ре</w:t>
      </w:r>
      <w:r>
        <w:rPr>
          <w:rFonts w:ascii="Times New Roman" w:hAnsi="Times New Roman"/>
          <w:sz w:val="28"/>
        </w:rPr>
        <w:t xml:space="preserve">зультатов оценки проектов.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 Базовыми показателями мониторинговой оценки результатов проекта, используемыми при осуществлении оценки результатов проекта в соответствии с этапами, предусмотренными пунктом 5 настоящего Порядка, являются:</w:t>
      </w:r>
    </w:p>
    <w:p>
      <w:pPr>
        <w:pStyle w:val="a3"/>
        <w:spacing w:line="240" w:lineRule="auto"/>
        <w:ind w:left="1428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2"/>
        <w:gridCol w:w="3993"/>
        <w:gridCol w:w="1553"/>
        <w:gridCol w:w="3696"/>
      </w:tblGrid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пок</w:t>
            </w:r>
            <w:r>
              <w:rPr>
                <w:rFonts w:ascii="Times New Roman" w:hAnsi="Times New Roman"/>
                <w:sz w:val="28"/>
              </w:rPr>
              <w:t xml:space="preserve">азателя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Единица измерения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Особенности определения значения показателя </w:t>
            </w:r>
          </w:p>
        </w:tc>
      </w:tr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достижения целевых показателей (ожидаемых количественных результатов)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проц.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Определяется как среднее арифметическое процентов достижения всех целевых показателей (ожидаемых количественных результатов), предусмотренных описанием проекта, при этом процент достижения значения каждого целевого показателя рассчитывается делением достиг</w:t>
            </w:r>
            <w:r>
              <w:rPr>
                <w:rFonts w:ascii="Times New Roman" w:hAnsi="Times New Roman"/>
                <w:sz w:val="28"/>
              </w:rPr>
              <w:t xml:space="preserve">нутого показателя на целевое значение показателя, указанное в описании проекта, и умножением полученного результат на 100, а в случае, если результат деления и последующего умножения превышает 100, признается равным 100</w:t>
            </w:r>
          </w:p>
        </w:tc>
      </w:tr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благополучателей проек</w:t>
            </w:r>
            <w:r>
              <w:rPr>
                <w:rFonts w:ascii="Times New Roman" w:hAnsi="Times New Roman"/>
                <w:sz w:val="28"/>
              </w:rPr>
              <w:t xml:space="preserve">та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чел.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граждан, участвующих в реализации проекта, в том числе добровольцев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чел.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 xml:space="preserve">II</w:t>
      </w:r>
      <w:r>
        <w:rPr>
          <w:rFonts w:ascii="Times New Roman" w:hAnsi="Times New Roman"/>
          <w:b/>
          <w:sz w:val="28"/>
        </w:rPr>
        <w:t xml:space="preserve">. Оценка результатов проекта реализовавшей его организацией-победителем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 Оценка результатов проекта, предусмотренная подпунктом 1 пункта 5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 xml:space="preserve">Порядка, проводится осуществившей его организацией – победителем конкурса и состоит в определении количественных и качественных результатов, полученных в ходе реализации проекта. 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оценка проводится при подготовке итогового отчета о результатах реали</w:t>
      </w:r>
      <w:r>
        <w:rPr>
          <w:rFonts w:ascii="Times New Roman" w:hAnsi="Times New Roman"/>
          <w:sz w:val="28"/>
        </w:rPr>
        <w:t xml:space="preserve">зации проекта в соответствии с соглашением (далее – итоговый отчет).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 В части количественных результатов организация – победитель конкурса, реализовавшая проект, определяет достигнутые значения: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показателей количественных результатов (ожидаемых количе</w:t>
      </w:r>
      <w:r>
        <w:rPr>
          <w:rFonts w:ascii="Times New Roman" w:hAnsi="Times New Roman"/>
          <w:sz w:val="28"/>
        </w:rPr>
        <w:t xml:space="preserve">ственных результатов), исчисляемых в соответствии с пунктом 6 настоящего Порядка;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 б</w:t>
      </w:r>
      <w:r>
        <w:rPr>
          <w:rFonts w:ascii="Times New Roman" w:hAnsi="Times New Roman"/>
          <w:sz w:val="28"/>
        </w:rPr>
        <w:t xml:space="preserve">азовых показателей мониторинговой оценки результатов проекта «количество благополучателей проекта», «количество граждан, участвующих в реализации проекта, в том числе добровольцев»; 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иных показателей (если организация – победитель конкурса выявила значи</w:t>
      </w:r>
      <w:r>
        <w:rPr>
          <w:rFonts w:ascii="Times New Roman" w:hAnsi="Times New Roman"/>
          <w:sz w:val="28"/>
        </w:rPr>
        <w:t xml:space="preserve">мые количественные результаты по другим показателям и считает целесообразным отметить их в составе результатов проекта).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</w:rPr>
        <w:t xml:space="preserve">В части качественных результатов организация – победитель конкурса, реализовавшая проект, оценивает ко дню завершения проекта социал</w:t>
      </w:r>
      <w:r>
        <w:rPr>
          <w:rFonts w:ascii="Times New Roman" w:hAnsi="Times New Roman"/>
          <w:sz w:val="28"/>
        </w:rPr>
        <w:t xml:space="preserve">ьный эффект, в частности определяет изменения, которые благодаря осуществлению проекта произошли в состоянии целевой группы (целевых групп), жизни конкретных людей и (или) решении общественно значимой проблемы (в том числе создании условий для ее решения).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организацией выявлено иное незапланированное влияние на положение дел на территории реализации проекта, и она может определить соответствующие изменения, произошедшие именно вследствие осуществления проекта, организация может учесть такие изменения в</w:t>
      </w:r>
      <w:r>
        <w:rPr>
          <w:rFonts w:ascii="Times New Roman" w:hAnsi="Times New Roman"/>
          <w:sz w:val="28"/>
        </w:rPr>
        <w:t xml:space="preserve"> оценке социального эффекта. 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 Информация о результатах проекта, определенных в соответствии с пунктами 8, 9 настоящего Порядка,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вклю</w:t>
      </w:r>
      <w:r>
        <w:rPr>
          <w:rFonts w:ascii="Times New Roman" w:hAnsi="Times New Roman"/>
          <w:color w:val="000000"/>
          <w:sz w:val="28"/>
        </w:rPr>
        <w:t xml:space="preserve">чается</w:t>
      </w:r>
      <w:r>
        <w:rPr>
          <w:rFonts w:ascii="Times New Roman" w:hAnsi="Times New Roman"/>
          <w:sz w:val="28"/>
        </w:rPr>
        <w:t xml:space="preserve"> в итоговый </w:t>
      </w:r>
      <w:r>
        <w:rPr>
          <w:rStyle w:val="afa"/>
          <w:rFonts w:ascii="Times New Roman" w:hAnsi="Times New Roman"/>
          <w:sz w:val="28"/>
        </w:rPr>
        <w:t xml:space="preserve">отчет</w:t>
      </w:r>
      <w:r>
        <w:rPr>
          <w:rFonts w:ascii="Times New Roman" w:hAnsi="Times New Roman"/>
          <w:sz w:val="28"/>
        </w:rPr>
        <w:t xml:space="preserve">. 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 Организация – победитель конкурса, реализовавшая проект, подтверждает достоверность поданн</w:t>
      </w:r>
      <w:r>
        <w:rPr>
          <w:rFonts w:ascii="Times New Roman" w:hAnsi="Times New Roman"/>
          <w:sz w:val="28"/>
        </w:rPr>
        <w:t xml:space="preserve">ой информации о его результатах, определенных ею в соответствии с пунктами 8, 9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Порядка, подписанием ее руководителем (уполномоченным лицом) итогового </w:t>
      </w:r>
      <w:r>
        <w:rPr>
          <w:rStyle w:val="afa"/>
          <w:rFonts w:ascii="Times New Roman" w:hAnsi="Times New Roman"/>
          <w:sz w:val="28"/>
        </w:rPr>
        <w:t xml:space="preserve">отчета, </w:t>
      </w:r>
      <w:r>
        <w:rPr>
          <w:rFonts w:ascii="Times New Roman" w:hAnsi="Times New Roman"/>
          <w:sz w:val="28"/>
        </w:rPr>
        <w:t xml:space="preserve">содержащего указанную информацию.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 Министер</w:t>
      </w:r>
      <w:r>
        <w:rPr>
          <w:rFonts w:ascii="Times New Roman" w:hAnsi="Times New Roman"/>
          <w:sz w:val="28"/>
        </w:rPr>
        <w:t xml:space="preserve">ство оказывает информационную, консультационную и методическую поддержку организациям – победителям конкурса, реализовавшим проекты, при проведении оценки результатов проектов, в том числе полученного социального эффекта.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</w:p>
    <w:p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 xml:space="preserve">III</w:t>
      </w:r>
      <w:r>
        <w:rPr>
          <w:rFonts w:ascii="Times New Roman" w:hAnsi="Times New Roman"/>
          <w:b/>
          <w:sz w:val="28"/>
        </w:rPr>
        <w:t xml:space="preserve">.</w:t>
      </w:r>
      <w:r>
        <w:rPr>
          <w:rFonts w:ascii="Times New Roman" w:hAnsi="Times New Roman"/>
          <w:b/>
          <w:sz w:val="28"/>
          <w:lang w:val="en-US"/>
        </w:rPr>
        <w:t xml:space="preserve"> </w:t>
      </w:r>
      <w:r>
        <w:rPr>
          <w:rFonts w:ascii="Times New Roman" w:hAnsi="Times New Roman"/>
          <w:b/>
          <w:sz w:val="28"/>
        </w:rPr>
        <w:t xml:space="preserve">Оценка результатов проекта м</w:t>
      </w:r>
      <w:r>
        <w:rPr>
          <w:rFonts w:ascii="Times New Roman" w:hAnsi="Times New Roman"/>
          <w:b/>
          <w:sz w:val="28"/>
        </w:rPr>
        <w:t xml:space="preserve">инистерство</w:t>
      </w:r>
      <w:r>
        <w:rPr>
          <w:rFonts w:ascii="Times New Roman" w:hAnsi="Times New Roman"/>
          <w:b/>
          <w:color w:val="000000"/>
          <w:sz w:val="28"/>
        </w:rPr>
        <w:t xml:space="preserve">м</w:t>
      </w:r>
      <w:r>
        <w:rPr>
          <w:rFonts w:ascii="Times New Roman" w:hAnsi="Times New Roman"/>
          <w:b/>
          <w:sz w:val="28"/>
        </w:rPr>
        <w:t xml:space="preserve"> на основе информации, собранной в ходе мониторинга реализации проектов и предоставленной отчетности </w:t>
      </w:r>
    </w:p>
    <w:p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 Оценка результатов проекта, предусмотренная подпунктом 2 пункта 5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Порядка, состоит в определении в соответствии с настоящим По</w:t>
      </w:r>
      <w:r>
        <w:rPr>
          <w:rFonts w:ascii="Times New Roman" w:hAnsi="Times New Roman"/>
          <w:sz w:val="28"/>
        </w:rPr>
        <w:t xml:space="preserve">рядком значений базовых показателей мониторинговой оценки результатов проекта, установленных пунктом 6 настоящего Порядка, и общего вывода об успешности его реализации. 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оценка проводится на основе информации, собранной министерством в ходе монитори</w:t>
      </w:r>
      <w:r>
        <w:rPr>
          <w:rFonts w:ascii="Times New Roman" w:hAnsi="Times New Roman"/>
          <w:sz w:val="28"/>
        </w:rPr>
        <w:t xml:space="preserve">нга реализации проектов и предоставленной отчетности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организацией – победителем конкурса, осуществившей данный проект. 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проводится в </w:t>
      </w:r>
      <w:r>
        <w:rPr>
          <w:rFonts w:ascii="Times New Roman" w:hAnsi="Times New Roman"/>
          <w:color w:val="000000"/>
          <w:sz w:val="28"/>
        </w:rPr>
        <w:t xml:space="preserve">течение трех</w:t>
      </w:r>
      <w:r>
        <w:rPr>
          <w:rFonts w:ascii="Times New Roman" w:hAnsi="Times New Roman"/>
          <w:sz w:val="28"/>
        </w:rPr>
        <w:t xml:space="preserve"> месяцев со дня</w:t>
      </w:r>
      <w:r>
        <w:rPr>
          <w:rFonts w:ascii="Times New Roman" w:hAnsi="Times New Roman"/>
          <w:sz w:val="28"/>
        </w:rPr>
        <w:t xml:space="preserve"> окончания предельного срока реализации проектов, указанного в приказе об объявлении кон</w:t>
      </w:r>
      <w:r>
        <w:rPr>
          <w:rFonts w:ascii="Times New Roman" w:hAnsi="Times New Roman"/>
          <w:sz w:val="28"/>
        </w:rPr>
        <w:t xml:space="preserve">курса</w:t>
      </w:r>
      <w:r>
        <w:rPr>
          <w:rFonts w:ascii="Times New Roman" w:hAnsi="Times New Roman"/>
          <w:sz w:val="28"/>
        </w:rPr>
        <w:t xml:space="preserve">.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</w:rPr>
        <w:t xml:space="preserve">В случае, если в информации о реализации проекта и его результатах выявлены неточности, ошибки, противоречия, оценка может проводиться в течение шести месяцев со дня получения министерством итогового </w:t>
      </w:r>
      <w:r>
        <w:rPr>
          <w:rStyle w:val="afa"/>
          <w:rFonts w:ascii="Times New Roman" w:hAnsi="Times New Roman"/>
          <w:color w:val="000000"/>
          <w:sz w:val="28"/>
        </w:rPr>
        <w:t xml:space="preserve">о</w:t>
      </w:r>
      <w:r>
        <w:rPr>
          <w:rStyle w:val="afa"/>
          <w:rFonts w:ascii="Times New Roman" w:hAnsi="Times New Roman"/>
          <w:sz w:val="28"/>
        </w:rPr>
        <w:t xml:space="preserve">тчета</w:t>
      </w:r>
      <w:r>
        <w:rPr>
          <w:rFonts w:ascii="Times New Roman" w:hAnsi="Times New Roman"/>
          <w:sz w:val="28"/>
        </w:rPr>
        <w:t xml:space="preserve">.</w:t>
      </w:r>
    </w:p>
    <w:p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4. Значение базового показателя мониторинговой оценки результатов проекта «уровень достижения целевых показателей (ожидаемых количественных результатов) проекта» определяется министерством на основе сопоставления достигнутых значений показателей, предусмот</w:t>
      </w:r>
      <w:r>
        <w:rPr>
          <w:rFonts w:ascii="Times New Roman" w:hAnsi="Times New Roman"/>
          <w:sz w:val="28"/>
        </w:rPr>
        <w:t xml:space="preserve">ренных подпунктом 1 пункта 8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Порядка, и их целевых значений. </w:t>
      </w:r>
    </w:p>
    <w:p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достигнутое значение показателя принимается значение, заявленное организацией – победителем конкурса, реализовавшей проект (при отсутствии у министерства доказательств, свидетельст</w:t>
      </w:r>
      <w:r>
        <w:rPr>
          <w:rFonts w:ascii="Times New Roman" w:hAnsi="Times New Roman"/>
          <w:sz w:val="28"/>
        </w:rPr>
        <w:t xml:space="preserve">вующих о недостоверности такого значения), или значение, определенное путем уточнения заявленного значения на основе имеющейся информации либо исправления очевидной ошибки.</w:t>
      </w:r>
    </w:p>
    <w:p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 Значение каждого из базовых показателей мониторинговой оценки результатов проек</w:t>
      </w:r>
      <w:r>
        <w:rPr>
          <w:rFonts w:ascii="Times New Roman" w:hAnsi="Times New Roman"/>
          <w:sz w:val="28"/>
        </w:rPr>
        <w:t xml:space="preserve">та «количество благополучателей проекта», «количество граждан, участвующих в реализации проекта, числе добровольцев» определяется министерством путем принятия значений, заявленных организацией – победителем конкурса, реализовавшей проект (при отсутствии у </w:t>
      </w:r>
      <w:r>
        <w:rPr>
          <w:rFonts w:ascii="Times New Roman" w:hAnsi="Times New Roman"/>
          <w:sz w:val="28"/>
        </w:rPr>
        <w:t xml:space="preserve">министерства доказательств, свидетельствующих о недостоверности такого значения), в том числе с уточнением заявленного значения на основе имеющейся информации либо исправлением очевидной ошибки.</w:t>
      </w:r>
    </w:p>
    <w:p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 Информация об определенных в ходе проведения оценки значениях показателей размещается на портале информационной поддержки СО НКО и развития гражданских инициатив Новосибирской области в информационно-телекоммуникационной сети «Интернет» (далее соответс</w:t>
      </w:r>
      <w:r>
        <w:rPr>
          <w:rFonts w:ascii="Times New Roman" w:hAnsi="Times New Roman"/>
          <w:sz w:val="28"/>
        </w:rPr>
        <w:t xml:space="preserve">твенно –</w:t>
      </w:r>
      <w:r>
        <w:rPr>
          <w:rFonts w:ascii="Times New Roman" w:hAnsi="Times New Roman"/>
          <w:sz w:val="28"/>
          <w:szCs w:val="28"/>
        </w:rPr>
        <w:t xml:space="preserve"> п</w:t>
      </w:r>
      <w:r>
        <w:rPr>
          <w:rFonts w:ascii="Times New Roman" w:hAnsi="Times New Roman"/>
          <w:sz w:val="28"/>
        </w:rPr>
        <w:t xml:space="preserve">ортал, сеть «Интернет»).</w:t>
      </w:r>
    </w:p>
    <w:p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17. В случае выявления министерством в ходе выполнения оценки или ранее обстоятельств, свидетельствующих о нарушении (неисполнении) организацией – победителем конкурса</w:t>
      </w:r>
      <w:r>
        <w:rPr>
          <w:rFonts w:ascii="Times New Roman" w:hAnsi="Times New Roman"/>
          <w:sz w:val="28"/>
        </w:rPr>
        <w:t xml:space="preserve">, реализовавшей проект, условий соглашения, информация об этом размещается на портале.</w:t>
      </w:r>
    </w:p>
    <w:p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 В ходе проведения оценки министерство определяет уровень информационной открытости проекта оценкой «высокий», «средний», «низкий».</w:t>
      </w:r>
    </w:p>
    <w:p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Оценка «высокий» дается уровню инф</w:t>
      </w:r>
      <w:r>
        <w:rPr>
          <w:rFonts w:ascii="Times New Roman" w:hAnsi="Times New Roman"/>
          <w:sz w:val="28"/>
        </w:rPr>
        <w:t xml:space="preserve">ормационной открытости проекта в случае, если реализация проекта (его мероприятия) активно </w:t>
      </w:r>
      <w:r>
        <w:rPr>
          <w:rFonts w:ascii="Times New Roman" w:hAnsi="Times New Roman"/>
          <w:color w:val="000000"/>
          <w:sz w:val="28"/>
        </w:rPr>
        <w:t xml:space="preserve">освещалась в средствах массовой информации и (или) в сети «Интернет».</w:t>
      </w:r>
    </w:p>
    <w:p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Оценка «средний» дается </w:t>
      </w:r>
      <w:r>
        <w:rPr>
          <w:rFonts w:ascii="Times New Roman" w:hAnsi="Times New Roman"/>
          <w:sz w:val="28"/>
        </w:rPr>
        <w:t xml:space="preserve">уровню информационной открытости проекта в случае, если </w:t>
      </w:r>
      <w:r>
        <w:rPr>
          <w:rFonts w:ascii="Times New Roman" w:hAnsi="Times New Roman"/>
          <w:color w:val="000000"/>
          <w:sz w:val="28"/>
        </w:rPr>
        <w:t xml:space="preserve">работа по распр</w:t>
      </w:r>
      <w:r>
        <w:rPr>
          <w:rFonts w:ascii="Times New Roman" w:hAnsi="Times New Roman"/>
          <w:color w:val="000000"/>
          <w:sz w:val="28"/>
        </w:rPr>
        <w:t xml:space="preserve">остранению информации о реализации проекта велась не регулярно и с использованием, как правило, одного информационного ресурса, либо по имеющимся публикациям сложно получить полное представление о деятельности по проекту.</w:t>
      </w:r>
    </w:p>
    <w:p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Оценка «низкий» дается </w:t>
      </w:r>
      <w:r>
        <w:rPr>
          <w:rFonts w:ascii="Times New Roman" w:hAnsi="Times New Roman"/>
          <w:sz w:val="28"/>
        </w:rPr>
        <w:t xml:space="preserve">уровню инфо</w:t>
      </w:r>
      <w:r>
        <w:rPr>
          <w:rFonts w:ascii="Times New Roman" w:hAnsi="Times New Roman"/>
          <w:sz w:val="28"/>
        </w:rPr>
        <w:t xml:space="preserve">рмационной открытости проекта в случае, если реализация проекта практически не освещалась.</w:t>
      </w:r>
    </w:p>
    <w:p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 Оценка результатов проекта завершается определением общего вывода об успешности реализации проекта и размещением его на портале.</w:t>
      </w:r>
    </w:p>
    <w:p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Указанный вывод формулируется од</w:t>
      </w:r>
      <w:r>
        <w:rPr>
          <w:rFonts w:ascii="Times New Roman" w:hAnsi="Times New Roman"/>
          <w:sz w:val="28"/>
        </w:rPr>
        <w:t xml:space="preserve">ной из следующий оценок: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</w:t>
      </w:r>
      <w:r>
        <w:rPr>
          <w:rFonts w:ascii="Times New Roman" w:hAnsi="Times New Roman"/>
          <w:color w:val="000000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роект реализован успешно;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 проект реализовав удовлетворительно;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 проект реализован </w:t>
      </w:r>
      <w:r>
        <w:rPr>
          <w:rFonts w:ascii="Times New Roman" w:hAnsi="Times New Roman"/>
          <w:sz w:val="28"/>
        </w:rPr>
        <w:t xml:space="preserve">неудовлетворительно.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Оценка «проект реализован успешно»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дается в случае высокого уровня (более 75%) достижения целевых показателей (ожидаем</w:t>
      </w:r>
      <w:r>
        <w:rPr>
          <w:rFonts w:ascii="Times New Roman" w:hAnsi="Times New Roman"/>
          <w:sz w:val="28"/>
        </w:rPr>
        <w:t xml:space="preserve">ых количественных результатов) проекта, отсутствия фактов нарушения (неисполнения) условий соглашения, </w:t>
      </w:r>
      <w:r>
        <w:rPr>
          <w:rFonts w:ascii="Times New Roman" w:hAnsi="Times New Roman"/>
          <w:color w:val="000000"/>
          <w:sz w:val="28"/>
        </w:rPr>
        <w:t xml:space="preserve">наличия дополнительных показателей при реализации проекта, выявленных в соответствии с подпунктом 3 пункта 8 настоящего Порядка.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Оценка «проект реализова</w:t>
      </w:r>
      <w:r>
        <w:rPr>
          <w:rFonts w:ascii="Times New Roman" w:hAnsi="Times New Roman"/>
          <w:sz w:val="28"/>
        </w:rPr>
        <w:t xml:space="preserve">н удовлетворительно»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дается в случае частичного (более 40%) достижения целевых показателей (ожидаемых количественных результатов) проекта,</w:t>
      </w:r>
      <w:r>
        <w:rPr>
          <w:rFonts w:ascii="Times New Roman" w:hAnsi="Times New Roman"/>
          <w:color w:val="000000"/>
          <w:sz w:val="28"/>
        </w:rPr>
        <w:t xml:space="preserve"> наличия незначительных замечаний со стороны министерства к реализации проекта и (или) представлению отчетности при от</w:t>
      </w:r>
      <w:r>
        <w:rPr>
          <w:rFonts w:ascii="Times New Roman" w:hAnsi="Times New Roman"/>
          <w:color w:val="000000"/>
          <w:sz w:val="28"/>
        </w:rPr>
        <w:t xml:space="preserve">сутствии фактов нарушения (неисполнения) условий соглашения.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Оценка «проект реализован неудовлетворительно»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дается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случае нарушения (неисполнения) условий соглашения, к которым относятся в том числе низкий уровень (менее 40%) достижения целевых показател</w:t>
      </w:r>
      <w:r>
        <w:rPr>
          <w:rFonts w:ascii="Times New Roman" w:hAnsi="Times New Roman"/>
          <w:color w:val="000000"/>
          <w:sz w:val="28"/>
        </w:rPr>
        <w:t xml:space="preserve">ей, (ожидаемых количественных результатов) проекта, использование гранта не по целевому назначению, непредставление отчетности. </w:t>
      </w:r>
    </w:p>
    <w:p>
      <w:pPr>
        <w:pStyle w:val="a3"/>
        <w:spacing w:line="240" w:lineRule="auto"/>
        <w:ind w:left="1428"/>
        <w:jc w:val="both"/>
        <w:rPr>
          <w:rFonts w:ascii="Times New Roman" w:hAnsi="Times New Roman"/>
          <w:sz w:val="28"/>
        </w:rPr>
      </w:pPr>
    </w:p>
    <w:p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 xml:space="preserve">IV</w:t>
      </w:r>
      <w:r>
        <w:rPr>
          <w:rFonts w:ascii="Times New Roman" w:hAnsi="Times New Roman"/>
          <w:b/>
          <w:sz w:val="28"/>
        </w:rPr>
        <w:t xml:space="preserve">. Оценка проектов заинтересованными сторонами</w:t>
      </w:r>
    </w:p>
    <w:p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 Министерство обеспечивает возможность участия в оценке резул</w:t>
      </w:r>
      <w:r>
        <w:rPr>
          <w:rFonts w:ascii="Times New Roman" w:hAnsi="Times New Roman"/>
          <w:sz w:val="28"/>
        </w:rPr>
        <w:t xml:space="preserve">ьтатов проекта любой заинтересованной стороны, в качестве которой могут выступать: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гражданин, который являлся благополучателем проекта либо интересы которого иным образом затронуты в ходе реализации проекта;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 Общественная палата Новосибирской области;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 </w:t>
      </w:r>
      <w:r>
        <w:rPr>
          <w:rFonts w:ascii="Times New Roman" w:hAnsi="Times New Roman"/>
          <w:sz w:val="28"/>
        </w:rPr>
        <w:t xml:space="preserve">орган исполнительной власти Новосибирской области;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 </w:t>
      </w:r>
      <w:r>
        <w:rPr>
          <w:rFonts w:ascii="Times New Roman" w:hAnsi="Times New Roman"/>
          <w:sz w:val="28"/>
        </w:rPr>
        <w:t xml:space="preserve">общественный совет при министерстве;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 </w:t>
      </w:r>
      <w:r>
        <w:rPr>
          <w:rFonts w:ascii="Times New Roman" w:hAnsi="Times New Roman"/>
          <w:sz w:val="28"/>
        </w:rPr>
        <w:t xml:space="preserve">член конкурсной комиссии.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могут участвовать в оценке результатов проекта лица, имеющие конфликт интересов по отношению к организации – победителю конкурса.</w:t>
      </w:r>
      <w:r>
        <w:rPr>
          <w:rFonts w:ascii="Times New Roman" w:hAnsi="Times New Roman"/>
          <w:sz w:val="28"/>
        </w:rPr>
        <w:t xml:space="preserve">  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признается конфликтом интересов в целях настоящего пункта участие в оценке результатов проекта благополучателя реализованного проекта.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 Возможность участия заинтересованных сторон в оценке результатов проекта обеспечивается посредством: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размеще</w:t>
      </w:r>
      <w:r>
        <w:rPr>
          <w:rFonts w:ascii="Times New Roman" w:hAnsi="Times New Roman"/>
          <w:sz w:val="28"/>
        </w:rPr>
        <w:t xml:space="preserve">ния в сети «Интернет» на портале информации о результатах проектов, определенных в соответствии с подпунктом </w:t>
      </w:r>
      <w:r>
        <w:rPr>
          <w:rFonts w:ascii="Times New Roman" w:hAnsi="Times New Roman"/>
          <w:color w:val="000000"/>
          <w:sz w:val="28"/>
        </w:rPr>
        <w:t xml:space="preserve">1 пункта 8, пунктом 9 настоящего</w:t>
      </w:r>
      <w:r>
        <w:rPr>
          <w:rFonts w:ascii="Times New Roman" w:hAnsi="Times New Roman"/>
          <w:sz w:val="28"/>
        </w:rPr>
        <w:t xml:space="preserve"> Порядка, а также о целевых значениях соответствующих показателей.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получения и анализа министерством оценок успе</w:t>
      </w:r>
      <w:r>
        <w:rPr>
          <w:rFonts w:ascii="Times New Roman" w:hAnsi="Times New Roman"/>
          <w:sz w:val="28"/>
        </w:rPr>
        <w:t xml:space="preserve">шности реализации проектов и (или) комментариев заинтересованных сторон в отношении результатов проекта. 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результатах проекта, предусмотренная подпунктом 1 пункта </w:t>
      </w:r>
      <w:r>
        <w:rPr>
          <w:rFonts w:ascii="Times New Roman" w:hAnsi="Times New Roman"/>
          <w:color w:val="000000"/>
          <w:sz w:val="28"/>
        </w:rPr>
        <w:t xml:space="preserve">21 настоящего Порядка</w:t>
      </w:r>
      <w:r>
        <w:rPr>
          <w:rFonts w:ascii="Times New Roman" w:hAnsi="Times New Roman"/>
          <w:sz w:val="28"/>
        </w:rPr>
        <w:t xml:space="preserve">, размещается на портале в том виде, в каком она представле</w:t>
      </w:r>
      <w:r>
        <w:rPr>
          <w:rFonts w:ascii="Times New Roman" w:hAnsi="Times New Roman"/>
          <w:sz w:val="28"/>
        </w:rPr>
        <w:t xml:space="preserve">на в министерство организациями – победителями конкурса, реализовавшими соответствующие проекты (с сохранением орфографии и пунктуации).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 Информация о возможности участия заинтересованных сторон в оценке результатов проектов с указанием даты окончания с</w:t>
      </w:r>
      <w:r>
        <w:rPr>
          <w:rFonts w:ascii="Times New Roman" w:hAnsi="Times New Roman"/>
          <w:sz w:val="28"/>
        </w:rPr>
        <w:t xml:space="preserve">рока, определенного министерством для использования этой возможности, размещается на официальном сайте министерства (</w:t>
      </w:r>
      <w:hyperlink r:id="rId10" w:tooltip="https://minregion.nso.ru/" w:history="1">
        <w:r>
          <w:rPr>
            <w:rStyle w:val="af1"/>
            <w:rFonts w:ascii="Times New Roman" w:hAnsi="Times New Roman"/>
            <w:sz w:val="28"/>
          </w:rPr>
          <w:t xml:space="preserve">https://minregion.nso.ru/</w:t>
        </w:r>
      </w:hyperlink>
      <w:r>
        <w:rPr>
          <w:rFonts w:ascii="Times New Roman" w:hAnsi="Times New Roman"/>
          <w:sz w:val="28"/>
        </w:rPr>
        <w:t xml:space="preserve">) в сети «Интернет» (далее – сайт министе</w:t>
      </w:r>
      <w:r>
        <w:rPr>
          <w:rFonts w:ascii="Times New Roman" w:hAnsi="Times New Roman"/>
          <w:sz w:val="28"/>
        </w:rPr>
        <w:t xml:space="preserve">рства), на портале не позднее дня начала данного срока. Указанный срок оценки составляет не более 45 календарных дней со дня размещения такой информации. 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 Заинтересованная сторона может направить в министерство свою оценку успешности реализации проекта</w:t>
      </w:r>
      <w:r>
        <w:rPr>
          <w:rFonts w:ascii="Times New Roman" w:hAnsi="Times New Roman"/>
          <w:sz w:val="28"/>
        </w:rPr>
        <w:t xml:space="preserve"> и (или) прокомментировать его результаты посредством заполнения соответствующих электронных форм на портале в течение срока, предусмотренного пунктом 22 настоящего Порядка. 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выбирается заинтересованной стороной из следующих вариантов: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проект реа</w:t>
      </w:r>
      <w:r>
        <w:rPr>
          <w:rFonts w:ascii="Times New Roman" w:hAnsi="Times New Roman"/>
          <w:sz w:val="28"/>
        </w:rPr>
        <w:t xml:space="preserve">лизован успешно;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проект реализован удовлетворительно;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проект реализован неудовлетворительно.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«Проект реализован успешно» означает, что: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 – победитель конкурса добросовестно осуществила проект, не допустив отклонений от первоначально</w:t>
      </w:r>
      <w:r>
        <w:rPr>
          <w:rFonts w:ascii="Times New Roman" w:hAnsi="Times New Roman"/>
          <w:sz w:val="28"/>
        </w:rPr>
        <w:t xml:space="preserve">го замысла, которые привели бы к снижению положительного социального эффекта от проекта;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реализации проекта решалась актуальная и социально значимая задача, а результаты проекта оказались полезными для целевой группы;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проекте была досту</w:t>
      </w:r>
      <w:r>
        <w:rPr>
          <w:rFonts w:ascii="Times New Roman" w:hAnsi="Times New Roman"/>
          <w:sz w:val="28"/>
        </w:rPr>
        <w:t xml:space="preserve">пна целевой группе, мероприятия проекта освещались в средствах массовой информации и (или) в сети «Интернет».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«проект реализован удовлетворительно» означает, что проект в целом выполнен, значительная часть его результатов достигнута, при этом к каче</w:t>
      </w:r>
      <w:r>
        <w:rPr>
          <w:rFonts w:ascii="Times New Roman" w:hAnsi="Times New Roman"/>
          <w:sz w:val="28"/>
        </w:rPr>
        <w:t xml:space="preserve">ству проведения отдельных мероприятий и (или) к уровню информационной открытости имеются замечания.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«проект реализован неудовлетворительно» означает, что по итогам выполнения проекта не был получен положительный социальный эффект, запланированные ре</w:t>
      </w:r>
      <w:r>
        <w:rPr>
          <w:rFonts w:ascii="Times New Roman" w:hAnsi="Times New Roman"/>
          <w:sz w:val="28"/>
        </w:rPr>
        <w:t xml:space="preserve">зультаты в основном не были достигнуты либо имеются другие существенные замечания к реализации проекта.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оценке «проект реализован удовлетворительно» или «проект реализован неудовлетворительно» заинтересованная сторона должна дать комментарий, обосновываю</w:t>
      </w:r>
      <w:r>
        <w:rPr>
          <w:rFonts w:ascii="Times New Roman" w:hAnsi="Times New Roman"/>
          <w:sz w:val="28"/>
        </w:rPr>
        <w:t xml:space="preserve">щий выбор такой оценки.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 Для определения оценки успешности реализации проекта и (или) формулирования комментария в соответствии с пунктом 23 настоящего Порядка заинтересованная сторона может использовать: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 информацию о содержании проекта, представленную в заявке на участие в конкурсе и размещенную на портале в сети «Интернет»;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информацию о результатах проекта, размещенную на портале в соответствии с подпунктом 1 пункта 21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другую </w:t>
      </w:r>
      <w:r>
        <w:rPr>
          <w:rFonts w:ascii="Times New Roman" w:hAnsi="Times New Roman"/>
          <w:sz w:val="28"/>
          <w:szCs w:val="28"/>
        </w:rPr>
        <w:t xml:space="preserve">информацию о проекте и его результатах из открытых источников.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 Заинтересованная сторона не вправе требовать дополнительные документы и материалы от организации – победителя конкурса, реализовавшей проект, или министерства.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если, по мнению заи</w:t>
      </w:r>
      <w:r>
        <w:rPr>
          <w:rFonts w:ascii="Times New Roman" w:hAnsi="Times New Roman"/>
          <w:sz w:val="28"/>
        </w:rPr>
        <w:t xml:space="preserve">нтересованной стороны, у нее недостаточно информации для определения оценки успешности реализации проекта в соответствии с пунктом 23 настоящего Порядка, заинтересованная сторона вправе направить в министерство комментарий, изложив в нем свои выводы о резу</w:t>
      </w:r>
      <w:r>
        <w:rPr>
          <w:rFonts w:ascii="Times New Roman" w:hAnsi="Times New Roman"/>
          <w:sz w:val="28"/>
        </w:rPr>
        <w:t xml:space="preserve">льтатах проекта и (или) замечания, в том числе к реализации проекта и информационной открытости. 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 Для направления в министерство оценки успешности реализации проекта и (или) комментария заинтересованная сторона должна пройти процедуру активизации через</w:t>
      </w:r>
      <w:r>
        <w:rPr>
          <w:rFonts w:ascii="Times New Roman" w:hAnsi="Times New Roman"/>
          <w:sz w:val="28"/>
        </w:rPr>
        <w:t xml:space="preserve"> ЕСИА на портале в сети «Интернет».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Лицо, представляющее позицию одной из заинтересованных сторон, указанных в подпунктах 1 – 5 пункта 20 настоящего Порядка, проходит процедуру активизации через ЕСИА на портале в сети «Интернет» в качестве представителя та</w:t>
      </w:r>
      <w:r>
        <w:rPr>
          <w:rFonts w:ascii="Times New Roman" w:hAnsi="Times New Roman"/>
          <w:sz w:val="28"/>
        </w:rPr>
        <w:t xml:space="preserve">кой стороны.</w:t>
      </w:r>
    </w:p>
    <w:p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</w:rPr>
      </w:pPr>
    </w:p>
    <w:p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 xml:space="preserve">V</w:t>
      </w:r>
      <w:r>
        <w:rPr>
          <w:rFonts w:ascii="Times New Roman" w:hAnsi="Times New Roman"/>
          <w:b/>
          <w:sz w:val="28"/>
        </w:rPr>
        <w:t xml:space="preserve">. Подведение итогов результатов оценки проекта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27. Подведение итогов результатов оценки проектов включает в себя:</w:t>
      </w: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определение министерством значений базовых сводных показателей результатов поддержки проектов</w:t>
      </w:r>
      <w:r>
        <w:rPr>
          <w:rFonts w:ascii="Times New Roman" w:hAnsi="Times New Roman"/>
          <w:sz w:val="28"/>
        </w:rPr>
        <w:t xml:space="preserve">:</w:t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1"/>
        <w:gridCol w:w="3993"/>
        <w:gridCol w:w="1553"/>
        <w:gridCol w:w="3697"/>
      </w:tblGrid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показателя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Единица измерения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Особенности определения значения показателя </w:t>
            </w:r>
          </w:p>
        </w:tc>
      </w:tr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успешно реализованных проектов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ед.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проектов, оцененных министерством как успешно реализованные</w:t>
            </w:r>
          </w:p>
        </w:tc>
      </w:tr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успешно реализованных проектов в общем количестве поддержанных пр</w:t>
            </w:r>
            <w:r>
              <w:rPr>
                <w:rFonts w:ascii="Times New Roman" w:hAnsi="Times New Roman"/>
                <w:sz w:val="28"/>
              </w:rPr>
              <w:t xml:space="preserve">оектов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проц.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Рассчитывается делением общего количества проектов на количество проектов, оцененных министерством как успешно реализованные (из общего количества проектов), и умножением полученного результата на 100</w:t>
            </w:r>
          </w:p>
        </w:tc>
      </w:tr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граждан, участвовавших в реализации проектов, в том числе добровольцев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чел.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Определяется как сумма значений базового показателя мониторинговой оценки результатов проекта «количество граждан, участвующих в реализации проекта, в том числе добровол</w:t>
            </w:r>
            <w:r>
              <w:rPr>
                <w:rFonts w:ascii="Times New Roman" w:hAnsi="Times New Roman"/>
                <w:sz w:val="28"/>
              </w:rPr>
              <w:t xml:space="preserve">ьцев» по всем проектам</w:t>
            </w:r>
          </w:p>
        </w:tc>
      </w:tr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благополучателей реализованных проектов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чел.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Определяется как сумма значений базового показателя мониторинговой оценки результатов проекта «количество благополучателей проекта» по всем проектам</w:t>
            </w:r>
          </w:p>
        </w:tc>
      </w:tr>
    </w:tbl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 определение министерством 5 лучших проектов;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28. Министерство в течение 10 рабочих дней со дня следующего за днем окончания оценки проектов заинтересованными сторонами анализирует оценки успешности реализации проектов и (или) комментарии заинтересованн</w:t>
      </w:r>
      <w:r>
        <w:rPr>
          <w:rFonts w:ascii="Times New Roman" w:hAnsi="Times New Roman"/>
          <w:sz w:val="28"/>
        </w:rPr>
        <w:t xml:space="preserve">ых сторон, полученные в течение срока, предусмотренного для участия таких сторон в оценке результатов проектов в соответствии с пунктом 22 настоящего Порядка, при необходимости уточняет: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значения базовых показателей мониторинговой оценки результатов про</w:t>
      </w:r>
      <w:r>
        <w:rPr>
          <w:rFonts w:ascii="Times New Roman" w:hAnsi="Times New Roman"/>
          <w:sz w:val="28"/>
        </w:rPr>
        <w:t xml:space="preserve">ектов, определенные в соответствии с пунктами 14, 15 настоящего Порядка;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общие выводы об успешности реализации проектов, сформулированные в соответствии с пунктом 19 настоящего Порядка.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 На основании значений базовых показателей мониторинговой оценки</w:t>
      </w:r>
      <w:r>
        <w:rPr>
          <w:rFonts w:ascii="Times New Roman" w:hAnsi="Times New Roman"/>
          <w:sz w:val="28"/>
        </w:rPr>
        <w:t xml:space="preserve"> результатов проектов и общих выводов об успешности их реализации, уточненных (подтвержденных) в соответствии с пунктом 28 настоящего Порядка, министерство определяет значения предусмотренных пунктом 27 настоящего Порядка базовых сводных показателей резуль</w:t>
      </w:r>
      <w:r>
        <w:rPr>
          <w:rFonts w:ascii="Times New Roman" w:hAnsi="Times New Roman"/>
          <w:sz w:val="28"/>
        </w:rPr>
        <w:t xml:space="preserve">татов поддержки проектов в течение 10 рабочих дней со дня составления анализа успешности реализации проектов, предусмотренного пунктом 28 настоящего Порядка.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 По завершении процедур, предусмотренных пунктами 28, 29 настоящего Порядка, министерство в теч</w:t>
      </w:r>
      <w:r>
        <w:rPr>
          <w:rFonts w:ascii="Times New Roman" w:hAnsi="Times New Roman"/>
          <w:sz w:val="28"/>
        </w:rPr>
        <w:t xml:space="preserve">ении 10 рабочих дней готовит и утверждает отчет об оценке результатов проектов, содержащий в том числе следующую информацию: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краткую информацию о ходе проведения оценки результатов проектов;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информацию об основных итогах оценки результатов проектов, </w:t>
      </w:r>
      <w:r>
        <w:rPr>
          <w:rFonts w:ascii="Times New Roman" w:hAnsi="Times New Roman"/>
          <w:sz w:val="28"/>
        </w:rPr>
        <w:t xml:space="preserve">включая в том числе определенные в соответствии с пунктом 29 настоящего Порядка значения базовых сводных показателей результатов поддержки проектов;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список успешно реализованных проектов, включающий следующие сведения о проектах: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номер заявки на участие</w:t>
      </w:r>
      <w:r>
        <w:rPr>
          <w:rFonts w:ascii="Times New Roman" w:hAnsi="Times New Roman"/>
          <w:sz w:val="28"/>
        </w:rPr>
        <w:t xml:space="preserve"> в конкурсе, по итогам рассмотрения которой был предоставлен грант;</w:t>
      </w:r>
    </w:p>
    <w:p>
      <w:pPr>
        <w:pStyle w:val="a3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название проекта;</w:t>
      </w:r>
    </w:p>
    <w:p>
      <w:pPr>
        <w:pStyle w:val="a3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организации – победителя конкурса;</w:t>
      </w:r>
    </w:p>
    <w:p>
      <w:pPr>
        <w:pStyle w:val="a3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грантовое направление;</w:t>
      </w:r>
    </w:p>
    <w:p>
      <w:pPr>
        <w:pStyle w:val="a3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одобренный размер гранта (в тысячах рублей);</w:t>
      </w:r>
    </w:p>
    <w:p>
      <w:pPr>
        <w:pStyle w:val="a3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фактическую использованную сумму (в тысячах рублей);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 с</w:t>
      </w:r>
      <w:r>
        <w:rPr>
          <w:rFonts w:ascii="Times New Roman" w:hAnsi="Times New Roman"/>
          <w:sz w:val="28"/>
        </w:rPr>
        <w:t xml:space="preserve">писок удовлетворительно реализованных проектов, включающий следующие сведения: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номер заявки на участие в конкурсе, по итогам рассмотрения которой был предоставлен грант;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номер заявки на участие в конкурсе;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название проекта;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организации – п</w:t>
      </w:r>
      <w:r>
        <w:rPr>
          <w:rFonts w:ascii="Times New Roman" w:hAnsi="Times New Roman"/>
          <w:sz w:val="28"/>
        </w:rPr>
        <w:t xml:space="preserve">обедителя конкурса;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грантовое направление;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одобренный размер гранта (в тысячах рублей);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фактическую использованную сумму (в тысячах рублей);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 с</w:t>
      </w:r>
      <w:r>
        <w:rPr>
          <w:rFonts w:ascii="Times New Roman" w:hAnsi="Times New Roman"/>
          <w:sz w:val="28"/>
        </w:rPr>
        <w:t xml:space="preserve">писок неудовлетворительно реализованных проектов, сгруппированных по категориям «проекты, реализованные неудовл</w:t>
      </w:r>
      <w:r>
        <w:rPr>
          <w:rFonts w:ascii="Times New Roman" w:hAnsi="Times New Roman"/>
          <w:sz w:val="28"/>
        </w:rPr>
        <w:t xml:space="preserve">етворительно, вследствие допущенных грубых нарушений при использовании гранта», «проекты, реализованные неудовлетворительно вследствие небрежного отношения к реализации проекта и отчетности по гранту», «проекты, реализованные неудовлетворительно вследствие</w:t>
      </w:r>
      <w:r>
        <w:rPr>
          <w:rFonts w:ascii="Times New Roman" w:hAnsi="Times New Roman"/>
          <w:sz w:val="28"/>
        </w:rPr>
        <w:t xml:space="preserve"> неблагоприятного стечения обстоятельств», включающий следующие сведения о проектах: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номер заявки на участие в конкурсе, по итогам рассмотрения которой был предоставлен грант;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название проекта;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организации – победителя конкурса;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грантовое направление;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одобренный размер гранта (в тысячах рублей);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фактическую использованную сумму (в тысячах рублей);</w:t>
      </w:r>
    </w:p>
    <w:p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задолженность организации по возврату использованной ненадлежащим образом суммы гранта (в тысячах рублей);</w:t>
      </w:r>
    </w:p>
    <w:p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 нарушениях, доп</w:t>
      </w:r>
      <w:r>
        <w:rPr>
          <w:rFonts w:ascii="Times New Roman" w:hAnsi="Times New Roman"/>
          <w:sz w:val="28"/>
        </w:rPr>
        <w:t xml:space="preserve">ущенных организацией (тезисно).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 утверждается заместителем министра-начальником управления по связям с общественностью и патриотическому воспитанию министерства.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31. Отчет об оценке результатов проектов публикуется министерством на</w:t>
      </w:r>
      <w:r>
        <w:rPr>
          <w:rFonts w:ascii="Times New Roman" w:hAnsi="Times New Roman"/>
          <w:color w:val="000000"/>
          <w:sz w:val="28"/>
        </w:rPr>
        <w:t xml:space="preserve"> официальном сайте </w:t>
      </w:r>
      <w:r>
        <w:rPr>
          <w:rFonts w:ascii="Times New Roman" w:hAnsi="Times New Roman"/>
          <w:sz w:val="28"/>
        </w:rPr>
        <w:t xml:space="preserve">министерства и </w:t>
      </w:r>
      <w:r>
        <w:rPr>
          <w:rFonts w:ascii="Times New Roman" w:hAnsi="Times New Roman"/>
          <w:color w:val="000000"/>
          <w:sz w:val="28"/>
        </w:rPr>
        <w:t xml:space="preserve">на портале в сети «Интернет», в течение 3 рабочих дней с даты утверждения отчета</w:t>
      </w:r>
      <w:r>
        <w:rPr>
          <w:rFonts w:ascii="Times New Roman" w:hAnsi="Times New Roman"/>
          <w:sz w:val="28"/>
        </w:rPr>
        <w:t xml:space="preserve">. 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32. Министерство по итогам оценки реализации проектов определяет 5 лучших проектов. 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Определение 5 лучших проектов осуществляется по наибольшему количеству оц</w:t>
      </w:r>
      <w:r>
        <w:rPr>
          <w:rFonts w:ascii="Times New Roman" w:hAnsi="Times New Roman"/>
          <w:sz w:val="28"/>
        </w:rPr>
        <w:t xml:space="preserve">енок «проект реализован успешно», полученных при оценке проектов заинтересованными сторонами в соответствии с разделом IV настоящего Порядка.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33. Организации</w:t>
      </w:r>
      <w:r>
        <w:rPr>
          <w:rFonts w:ascii="Times New Roman" w:hAnsi="Times New Roman" w:eastAsia="Times New Roman"/>
          <w:color w:val="000000"/>
          <w:sz w:val="29"/>
          <w:szCs w:val="29"/>
          <w:lang w:eastAsia="ru-RU"/>
        </w:rPr>
        <w:t xml:space="preserve"> – </w:t>
      </w:r>
      <w:r>
        <w:rPr>
          <w:rFonts w:ascii="Times New Roman" w:hAnsi="Times New Roman"/>
          <w:sz w:val="28"/>
        </w:rPr>
        <w:t xml:space="preserve">победители, проекты которых вошли 5 лучших проектов, награждаются соответствующими дипломами.</w:t>
      </w:r>
    </w:p>
    <w:p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Ук</w:t>
      </w:r>
      <w:r>
        <w:rPr>
          <w:rFonts w:ascii="Times New Roman" w:hAnsi="Times New Roman"/>
          <w:sz w:val="28"/>
        </w:rPr>
        <w:t xml:space="preserve">азанные организации могут быть также представлены министерством к иным формам поощрения и (или) поддержки их деятельности.</w:t>
      </w:r>
    </w:p>
    <w:p>
      <w:pPr>
        <w:pStyle w:val="a3"/>
        <w:spacing w:line="240" w:lineRule="auto"/>
        <w:jc w:val="both"/>
        <w:rPr>
          <w:rFonts w:ascii="Times New Roman" w:hAnsi="Times New Roman"/>
          <w:sz w:val="28"/>
        </w:rPr>
      </w:pPr>
    </w:p>
    <w:p>
      <w:pPr>
        <w:pStyle w:val="a3"/>
        <w:spacing w:line="240" w:lineRule="auto"/>
        <w:jc w:val="both"/>
        <w:rPr>
          <w:rFonts w:ascii="Times New Roman" w:hAnsi="Times New Roman"/>
          <w:sz w:val="28"/>
        </w:rPr>
      </w:pPr>
    </w:p>
    <w:p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</w:t>
      </w:r>
    </w:p>
    <w:sectPr>
      <w:headerReference w:type="default" r:id="rId9"/>
      <w:pgSz w:w="11906" w:h="16838"/>
      <w:pgMar w:top="1134" w:right="566" w:bottom="1134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C074C2D4">
      <w:start w:val="1"/>
      <w:numFmt w:val="decimal"/>
      <w:lvlText w:val="%1."/>
      <w:lvlJc w:val="left"/>
      <w:pPr>
        <w:ind w:left="720" w:hanging="360"/>
      </w:pPr>
    </w:lvl>
    <w:lvl w:ilvl="1" w:tplc="D1041AD2">
      <w:start w:val="1"/>
      <w:numFmt w:val="lowerLetter"/>
      <w:lvlText w:val="%2."/>
      <w:lvlJc w:val="left"/>
      <w:pPr>
        <w:ind w:left="1440" w:hanging="360"/>
      </w:pPr>
    </w:lvl>
    <w:lvl w:ilvl="2" w:tplc="458C8858">
      <w:start w:val="1"/>
      <w:numFmt w:val="lowerRoman"/>
      <w:lvlText w:val="%3."/>
      <w:lvlJc w:val="right"/>
      <w:pPr>
        <w:ind w:left="2160" w:hanging="180"/>
      </w:pPr>
    </w:lvl>
    <w:lvl w:ilvl="3" w:tplc="0D0A919A">
      <w:start w:val="1"/>
      <w:numFmt w:val="decimal"/>
      <w:lvlText w:val="%4."/>
      <w:lvlJc w:val="left"/>
      <w:pPr>
        <w:ind w:left="2880" w:hanging="360"/>
      </w:pPr>
    </w:lvl>
    <w:lvl w:ilvl="4" w:tplc="2B4EC45A">
      <w:start w:val="1"/>
      <w:numFmt w:val="lowerLetter"/>
      <w:lvlText w:val="%5."/>
      <w:lvlJc w:val="left"/>
      <w:pPr>
        <w:ind w:left="3600" w:hanging="360"/>
      </w:pPr>
    </w:lvl>
    <w:lvl w:ilvl="5" w:tplc="3E3E2990">
      <w:start w:val="1"/>
      <w:numFmt w:val="lowerRoman"/>
      <w:lvlText w:val="%6."/>
      <w:lvlJc w:val="right"/>
      <w:pPr>
        <w:ind w:left="4320" w:hanging="180"/>
      </w:pPr>
    </w:lvl>
    <w:lvl w:ilvl="6" w:tplc="E038896E">
      <w:start w:val="1"/>
      <w:numFmt w:val="decimal"/>
      <w:lvlText w:val="%7."/>
      <w:lvlJc w:val="left"/>
      <w:pPr>
        <w:ind w:left="5040" w:hanging="360"/>
      </w:pPr>
    </w:lvl>
    <w:lvl w:ilvl="7" w:tplc="AEF444D2">
      <w:start w:val="1"/>
      <w:numFmt w:val="lowerLetter"/>
      <w:lvlText w:val="%8."/>
      <w:lvlJc w:val="left"/>
      <w:pPr>
        <w:ind w:left="5760" w:hanging="360"/>
      </w:pPr>
    </w:lvl>
    <w:lvl w:ilvl="8" w:tplc="8684DD5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1FEAC276">
      <w:start w:val="1"/>
      <w:numFmt w:val="decimal"/>
      <w:lvlText w:val="%1."/>
      <w:lvlJc w:val="left"/>
      <w:pPr>
        <w:ind w:left="720" w:hanging="360"/>
      </w:pPr>
    </w:lvl>
    <w:lvl w:ilvl="1" w:tplc="BA5E4166">
      <w:start w:val="1"/>
      <w:numFmt w:val="lowerLetter"/>
      <w:lvlText w:val="%2."/>
      <w:lvlJc w:val="left"/>
      <w:pPr>
        <w:ind w:left="1440" w:hanging="360"/>
      </w:pPr>
    </w:lvl>
    <w:lvl w:ilvl="2" w:tplc="3FB2DF36">
      <w:start w:val="1"/>
      <w:numFmt w:val="lowerRoman"/>
      <w:lvlText w:val="%3."/>
      <w:lvlJc w:val="right"/>
      <w:pPr>
        <w:ind w:left="2160" w:hanging="180"/>
      </w:pPr>
    </w:lvl>
    <w:lvl w:ilvl="3" w:tplc="D606210A">
      <w:start w:val="1"/>
      <w:numFmt w:val="decimal"/>
      <w:lvlText w:val="%4."/>
      <w:lvlJc w:val="left"/>
      <w:pPr>
        <w:ind w:left="2880" w:hanging="360"/>
      </w:pPr>
    </w:lvl>
    <w:lvl w:ilvl="4" w:tplc="CE9A7802">
      <w:start w:val="1"/>
      <w:numFmt w:val="lowerLetter"/>
      <w:lvlText w:val="%5."/>
      <w:lvlJc w:val="left"/>
      <w:pPr>
        <w:ind w:left="3600" w:hanging="360"/>
      </w:pPr>
    </w:lvl>
    <w:lvl w:ilvl="5" w:tplc="68388A00">
      <w:start w:val="1"/>
      <w:numFmt w:val="lowerRoman"/>
      <w:lvlText w:val="%6."/>
      <w:lvlJc w:val="right"/>
      <w:pPr>
        <w:ind w:left="4320" w:hanging="180"/>
      </w:pPr>
    </w:lvl>
    <w:lvl w:ilvl="6" w:tplc="92AA0336">
      <w:start w:val="1"/>
      <w:numFmt w:val="decimal"/>
      <w:lvlText w:val="%7."/>
      <w:lvlJc w:val="left"/>
      <w:pPr>
        <w:ind w:left="5040" w:hanging="360"/>
      </w:pPr>
    </w:lvl>
    <w:lvl w:ilvl="7" w:tplc="838CFBAE">
      <w:start w:val="1"/>
      <w:numFmt w:val="lowerLetter"/>
      <w:lvlText w:val="%8."/>
      <w:lvlJc w:val="left"/>
      <w:pPr>
        <w:ind w:left="5760" w:hanging="360"/>
      </w:pPr>
    </w:lvl>
    <w:lvl w:ilvl="8" w:tplc="0BC0049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5D6A11E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7FE5E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C0EA15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BBA861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54E838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9167C1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2D2CF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1F2C5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68AB79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 w:tplc="FD78A0A0">
      <w:start w:val="20"/>
      <w:numFmt w:val="decimal"/>
      <w:lvlText w:val="%1"/>
      <w:lvlJc w:val="left"/>
      <w:pPr>
        <w:ind w:left="720" w:hanging="360"/>
      </w:pPr>
    </w:lvl>
    <w:lvl w:ilvl="1" w:tplc="B47C9840">
      <w:start w:val="1"/>
      <w:numFmt w:val="lowerLetter"/>
      <w:lvlText w:val="%2."/>
      <w:lvlJc w:val="left"/>
      <w:pPr>
        <w:ind w:left="1440" w:hanging="360"/>
      </w:pPr>
    </w:lvl>
    <w:lvl w:ilvl="2" w:tplc="42C6F25C">
      <w:start w:val="1"/>
      <w:numFmt w:val="lowerRoman"/>
      <w:lvlText w:val="%3."/>
      <w:lvlJc w:val="right"/>
      <w:pPr>
        <w:ind w:left="2160" w:hanging="180"/>
      </w:pPr>
    </w:lvl>
    <w:lvl w:ilvl="3" w:tplc="4FF6162A">
      <w:start w:val="1"/>
      <w:numFmt w:val="decimal"/>
      <w:lvlText w:val="%4."/>
      <w:lvlJc w:val="left"/>
      <w:pPr>
        <w:ind w:left="2880" w:hanging="360"/>
      </w:pPr>
    </w:lvl>
    <w:lvl w:ilvl="4" w:tplc="97E25D20">
      <w:start w:val="1"/>
      <w:numFmt w:val="lowerLetter"/>
      <w:lvlText w:val="%5."/>
      <w:lvlJc w:val="left"/>
      <w:pPr>
        <w:ind w:left="3600" w:hanging="360"/>
      </w:pPr>
    </w:lvl>
    <w:lvl w:ilvl="5" w:tplc="2052677C">
      <w:start w:val="1"/>
      <w:numFmt w:val="lowerRoman"/>
      <w:lvlText w:val="%6."/>
      <w:lvlJc w:val="right"/>
      <w:pPr>
        <w:ind w:left="4320" w:hanging="180"/>
      </w:pPr>
    </w:lvl>
    <w:lvl w:ilvl="6" w:tplc="65E80C9C">
      <w:start w:val="1"/>
      <w:numFmt w:val="decimal"/>
      <w:lvlText w:val="%7."/>
      <w:lvlJc w:val="left"/>
      <w:pPr>
        <w:ind w:left="5040" w:hanging="360"/>
      </w:pPr>
    </w:lvl>
    <w:lvl w:ilvl="7" w:tplc="2F7AC9D8">
      <w:start w:val="1"/>
      <w:numFmt w:val="lowerLetter"/>
      <w:lvlText w:val="%8."/>
      <w:lvlJc w:val="left"/>
      <w:pPr>
        <w:ind w:left="5760" w:hanging="360"/>
      </w:pPr>
    </w:lvl>
    <w:lvl w:ilvl="8" w:tplc="0B7E234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72687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623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D1432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B824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72E7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6DAC3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1CCD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6587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366F6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9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ind w:left="229" w:hanging="720"/>
      </w:pPr>
    </w:lvl>
    <w:lvl w:ilvl="3">
      <w:start w:val="1"/>
      <w:numFmt w:val="decimal"/>
      <w:lvlText w:val="%1.%2.%3.%4."/>
      <w:lvlJc w:val="left"/>
      <w:pPr>
        <w:ind w:left="589" w:hanging="1080"/>
      </w:pPr>
    </w:lvl>
    <w:lvl w:ilvl="4">
      <w:start w:val="1"/>
      <w:numFmt w:val="decimal"/>
      <w:lvlText w:val="%1.%2.%3.%4.%5."/>
      <w:lvlJc w:val="left"/>
      <w:pPr>
        <w:ind w:left="589" w:hanging="1080"/>
      </w:pPr>
    </w:lvl>
    <w:lvl w:ilvl="5">
      <w:start w:val="1"/>
      <w:numFmt w:val="decimal"/>
      <w:lvlText w:val="%1.%2.%3.%4.%5.%6."/>
      <w:lvlJc w:val="left"/>
      <w:pPr>
        <w:ind w:left="949" w:hanging="1440"/>
      </w:pPr>
    </w:lvl>
    <w:lvl w:ilvl="6">
      <w:start w:val="1"/>
      <w:numFmt w:val="decimal"/>
      <w:lvlText w:val="%1.%2.%3.%4.%5.%6.%7."/>
      <w:lvlJc w:val="left"/>
      <w:pPr>
        <w:ind w:left="1309" w:hanging="1800"/>
      </w:pPr>
    </w:lvl>
    <w:lvl w:ilvl="7">
      <w:start w:val="1"/>
      <w:numFmt w:val="decimal"/>
      <w:lvlText w:val="%1.%2.%3.%4.%5.%6.%7.%8."/>
      <w:lvlJc w:val="left"/>
      <w:pPr>
        <w:ind w:left="1309" w:hanging="1800"/>
      </w:pPr>
    </w:lvl>
    <w:lvl w:ilvl="8">
      <w:start w:val="1"/>
      <w:numFmt w:val="decimal"/>
      <w:lvlText w:val="%1.%2.%3.%4.%5.%6.%7.%8.%9."/>
      <w:lvlJc w:val="left"/>
      <w:pPr>
        <w:ind w:left="1669" w:hanging="2160"/>
      </w:pPr>
    </w:lvl>
  </w:abstractNum>
  <w:abstractNum w:abstractNumId="6">
    <w:multiLevelType w:val="hybridMultilevel"/>
    <w:lvl w:ilvl="0" w:tplc="C4DE3194">
      <w:start w:val="1"/>
      <w:numFmt w:val="upperRoman"/>
      <w:lvlText w:val="%1."/>
      <w:lvlJc w:val="left"/>
      <w:pPr>
        <w:ind w:left="3414" w:hanging="720"/>
      </w:pPr>
    </w:lvl>
    <w:lvl w:ilvl="1" w:tplc="54304F52">
      <w:start w:val="1"/>
      <w:numFmt w:val="lowerLetter"/>
      <w:lvlText w:val="%2."/>
      <w:lvlJc w:val="left"/>
      <w:pPr>
        <w:ind w:left="1015" w:hanging="360"/>
      </w:pPr>
    </w:lvl>
    <w:lvl w:ilvl="2" w:tplc="6DD610C4">
      <w:start w:val="1"/>
      <w:numFmt w:val="lowerRoman"/>
      <w:lvlText w:val="%3."/>
      <w:lvlJc w:val="right"/>
      <w:pPr>
        <w:ind w:left="1735" w:hanging="180"/>
      </w:pPr>
    </w:lvl>
    <w:lvl w:ilvl="3" w:tplc="7A6887F6">
      <w:start w:val="1"/>
      <w:numFmt w:val="decimal"/>
      <w:lvlText w:val="%4."/>
      <w:lvlJc w:val="left"/>
      <w:pPr>
        <w:ind w:left="2455" w:hanging="360"/>
      </w:pPr>
    </w:lvl>
    <w:lvl w:ilvl="4" w:tplc="8CCCE2D8">
      <w:start w:val="1"/>
      <w:numFmt w:val="lowerLetter"/>
      <w:lvlText w:val="%5."/>
      <w:lvlJc w:val="left"/>
      <w:pPr>
        <w:ind w:left="3175" w:hanging="360"/>
      </w:pPr>
    </w:lvl>
    <w:lvl w:ilvl="5" w:tplc="273ED92C">
      <w:start w:val="1"/>
      <w:numFmt w:val="lowerRoman"/>
      <w:lvlText w:val="%6."/>
      <w:lvlJc w:val="right"/>
      <w:pPr>
        <w:ind w:left="3895" w:hanging="180"/>
      </w:pPr>
    </w:lvl>
    <w:lvl w:ilvl="6" w:tplc="15666BFE">
      <w:start w:val="1"/>
      <w:numFmt w:val="decimal"/>
      <w:lvlText w:val="%7."/>
      <w:lvlJc w:val="left"/>
      <w:pPr>
        <w:ind w:left="4615" w:hanging="360"/>
      </w:pPr>
    </w:lvl>
    <w:lvl w:ilvl="7" w:tplc="86B8D1F6">
      <w:start w:val="1"/>
      <w:numFmt w:val="lowerLetter"/>
      <w:lvlText w:val="%8."/>
      <w:lvlJc w:val="left"/>
      <w:pPr>
        <w:ind w:left="5335" w:hanging="360"/>
      </w:pPr>
    </w:lvl>
    <w:lvl w:ilvl="8" w:tplc="635426D8">
      <w:start w:val="1"/>
      <w:numFmt w:val="lowerRoman"/>
      <w:lvlText w:val="%9."/>
      <w:lvlJc w:val="right"/>
      <w:pPr>
        <w:ind w:left="6055" w:hanging="180"/>
      </w:pPr>
    </w:lvl>
  </w:abstractNum>
  <w:abstractNum w:abstractNumId="7">
    <w:multiLevelType w:val="hybridMultilevel"/>
    <w:lvl w:ilvl="0" w:tplc="14D23958">
      <w:start w:val="1"/>
      <w:numFmt w:val="bullet"/>
      <w:lvlText w:val=""/>
      <w:lvlJc w:val="left"/>
      <w:pPr>
        <w:ind w:left="1778" w:hanging="360"/>
      </w:pPr>
      <w:rPr>
        <w:rFonts w:ascii="Symbol" w:hAnsi="Symbol"/>
      </w:rPr>
    </w:lvl>
    <w:lvl w:ilvl="1" w:tplc="6E8666D6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8004B66C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D020015A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431ABA78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376EE9C4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B0706948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651E8FDC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81B8D07E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">
    <w:multiLevelType w:val="hybridMultilevel"/>
    <w:lvl w:ilvl="0" w:tplc="C06EE4E8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567A0C9A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DD5A806A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F3689CF8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7E6A3ACE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4C5262F0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0A92CE12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27C4E168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DF322AA6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9">
    <w:multiLevelType w:val="hybridMultilevel"/>
    <w:lvl w:ilvl="0" w:tplc="28943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F4AB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C6A77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DAAC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443F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7EDE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92F4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AEB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D2413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 w:tplc="752C81B8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030C209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5B70482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F3EDB62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8D2150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7D0CD806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F8520F4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24448BB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82F6A38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styleId="HeaderChar" w:customStyle="1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styleId="FooterChar" w:customStyle="1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f0">
    <w:name w:val="Table Grid"/>
    <w:basedOn w:val="a1"/>
    <w:uiPriority w:val="39"/>
    <w:tblPr/>
  </w:style>
  <w:style w:type="table" w:styleId="TableGridLight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c" w:customStyle="1">
    <w:name w:val="Текст примечания Знак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styleId="afe" w:customStyle="1">
    <w:name w:val="Тема примечания Знак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f0" w:customStyle="1">
    <w:name w:val="Текст выноски Знак"/>
    <w:link w:val="aff"/>
    <w:uiPriority w:val="99"/>
    <w:semiHidden/>
    <w:rPr>
      <w:rFonts w:ascii="Segoe UI" w:hAnsi="Segoe UI" w:cs="Segoe UI"/>
      <w:sz w:val="18"/>
      <w:szCs w:val="18"/>
    </w:rPr>
  </w:style>
  <w:style w:type="character" w:styleId="ac" w:customStyle="1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styleId="ae" w:customStyle="1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minregion.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18466</Characters>
  <CharactersWithSpaces>21662</CharactersWithSpaces>
  <Company>PNO</Company>
  <DocSecurity>0</DocSecurity>
  <HyperlinksChanged>false</HyperlinksChanged>
  <Lines>153</Lines>
  <LinksUpToDate>false</LinksUpToDate>
  <Pages>1</Pages>
  <Paragraphs>43</Paragraphs>
  <ScaleCrop>false</ScaleCrop>
  <SharedDoc>false</SharedDoc>
  <Template>Normal.dotm</Template>
  <TotalTime>0</TotalTime>
  <Words>3239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Надежда Игоревна</dc:creator>
  <cp:lastModifiedBy/>
  <cp:revision>3</cp:revision>
  <dcterms:created xsi:type="dcterms:W3CDTF">2024-02-20T05:49:00Z</dcterms:created>
  <dcterms:modified xsi:type="dcterms:W3CDTF">2024-02-22T08:04:00Z</dcterms:modified>
  <cp:version>1048576</cp:version>
</cp:coreProperties>
</file>