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07 № 171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rStyle w:val="90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>
        <w:rPr>
          <w:color w:val="000000" w:themeColor="text1"/>
          <w:sz w:val="28"/>
          <w:szCs w:val="28"/>
        </w:rPr>
        <w:t xml:space="preserve">пунктом 5 статьи 26 Федер</w:t>
      </w:r>
      <w:r>
        <w:rPr>
          <w:color w:val="000000" w:themeColor="text1"/>
          <w:sz w:val="28"/>
          <w:szCs w:val="28"/>
        </w:rPr>
        <w:t xml:space="preserve">ального закона от 03.08.2018 № </w:t>
      </w:r>
      <w:r>
        <w:rPr>
          <w:color w:val="000000" w:themeColor="text1"/>
          <w:sz w:val="28"/>
          <w:szCs w:val="28"/>
        </w:rPr>
        <w:t xml:space="preserve">342-ФЗ «О внесении изменений в </w:t>
      </w:r>
      <w:r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>
        <w:rPr>
          <w:color w:val="000000" w:themeColor="text1"/>
          <w:sz w:val="28"/>
          <w:szCs w:val="28"/>
        </w:rPr>
        <w:t xml:space="preserve">стать</w:t>
      </w:r>
      <w:r>
        <w:rPr>
          <w:color w:val="000000" w:themeColor="text1"/>
          <w:sz w:val="28"/>
          <w:szCs w:val="28"/>
        </w:rPr>
        <w:t xml:space="preserve">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>
        <w:rPr>
          <w:color w:val="000000" w:themeColor="text1"/>
          <w:sz w:val="28"/>
          <w:szCs w:val="28"/>
        </w:rPr>
        <w:t xml:space="preserve">иториях в </w:t>
      </w:r>
      <w:r>
        <w:rPr>
          <w:color w:val="000000" w:themeColor="text1"/>
          <w:sz w:val="28"/>
          <w:szCs w:val="28"/>
        </w:rPr>
        <w:t xml:space="preserve">Новосибирской области»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</w:rPr>
        <w:t xml:space="preserve">п </w:t>
      </w:r>
      <w:r>
        <w:rPr>
          <w:rFonts w:eastAsia="Calibri"/>
          <w:b/>
          <w:color w:val="000000" w:themeColor="text1"/>
          <w:sz w:val="28"/>
          <w:szCs w:val="28"/>
        </w:rPr>
        <w:t xml:space="preserve">о с т а н о в</w:t>
      </w:r>
      <w:r>
        <w:rPr>
          <w:rFonts w:eastAsia="Calibri"/>
          <w:b/>
          <w:color w:val="000000" w:themeColor="text1"/>
          <w:sz w:val="28"/>
          <w:szCs w:val="28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л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я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е т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</w:t>
      </w:r>
      <w:r>
        <w:rPr>
          <w:rFonts w:eastAsiaTheme="minorHAnsi"/>
          <w:sz w:val="28"/>
          <w:szCs w:val="28"/>
          <w:lang w:eastAsia="en-US"/>
        </w:rPr>
        <w:t xml:space="preserve">остановление администрации Новосибирской области от 16.11.2007 № 171-па «Об утверждении границ и Положения о режиме особой </w:t>
      </w:r>
      <w:r>
        <w:rPr>
          <w:rFonts w:eastAsiaTheme="minorHAnsi"/>
          <w:sz w:val="28"/>
          <w:szCs w:val="28"/>
          <w:lang w:eastAsia="en-US"/>
        </w:rPr>
        <w:t xml:space="preserve">охраны территории памятника природы регионального значения «</w:t>
      </w:r>
      <w:r>
        <w:rPr>
          <w:rFonts w:eastAsiaTheme="minorHAnsi"/>
          <w:sz w:val="28"/>
          <w:szCs w:val="28"/>
          <w:lang w:eastAsia="en-US"/>
        </w:rPr>
        <w:t xml:space="preserve">Бердская</w:t>
      </w:r>
      <w:r>
        <w:rPr>
          <w:rFonts w:eastAsiaTheme="minorHAnsi"/>
          <w:sz w:val="28"/>
          <w:szCs w:val="28"/>
          <w:lang w:eastAsia="en-US"/>
        </w:rPr>
        <w:t xml:space="preserve"> лесная дача» Новосибирской области» </w:t>
      </w:r>
      <w:r>
        <w:rPr>
          <w:color w:val="000000" w:themeColor="text1"/>
          <w:sz w:val="28"/>
          <w:szCs w:val="28"/>
        </w:rPr>
        <w:t xml:space="preserve">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Style w:val="900"/>
          <w:color w:val="000000" w:themeColor="text1"/>
          <w:sz w:val="28"/>
          <w:szCs w:val="28"/>
        </w:rPr>
      </w:pPr>
      <w:r>
        <w:rPr>
          <w:rStyle w:val="900"/>
          <w:color w:val="000000" w:themeColor="text1"/>
          <w:sz w:val="28"/>
          <w:szCs w:val="28"/>
        </w:rPr>
        <w:t xml:space="preserve">1. В наименовании</w:t>
      </w:r>
      <w:r>
        <w:rPr>
          <w:rStyle w:val="900"/>
          <w:color w:val="000000" w:themeColor="text1"/>
          <w:sz w:val="28"/>
          <w:szCs w:val="28"/>
        </w:rPr>
        <w:t xml:space="preserve">,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абзаце втором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слова «</w:t>
      </w:r>
      <w:r>
        <w:rPr>
          <w:rStyle w:val="900"/>
          <w:color w:val="000000" w:themeColor="text1"/>
          <w:sz w:val="28"/>
          <w:szCs w:val="28"/>
        </w:rPr>
        <w:t xml:space="preserve">о режиме особой охраны территории памятника природы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»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заменить словами «</w:t>
      </w:r>
      <w:r>
        <w:rPr>
          <w:rStyle w:val="900"/>
          <w:color w:val="000000" w:themeColor="text1"/>
          <w:sz w:val="28"/>
          <w:szCs w:val="28"/>
        </w:rPr>
        <w:t xml:space="preserve">об особо охраняемой природной территории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 – памятнике природы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»</w:t>
      </w:r>
      <w:r>
        <w:rPr>
          <w:rStyle w:val="900"/>
          <w:color w:val="000000" w:themeColor="text1"/>
          <w:sz w:val="28"/>
          <w:szCs w:val="28"/>
        </w:rPr>
        <w:t xml:space="preserve">.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900"/>
          <w:color w:val="000000" w:themeColor="text1"/>
          <w:sz w:val="28"/>
          <w:szCs w:val="28"/>
        </w:rPr>
        <w:t xml:space="preserve">2. 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Положении </w:t>
      </w:r>
      <w:r>
        <w:rPr>
          <w:color w:val="000000" w:themeColor="text1"/>
          <w:sz w:val="28"/>
          <w:szCs w:val="28"/>
        </w:rPr>
        <w:t xml:space="preserve">о режиме особой охраны территории памятника природы регионального значения «</w:t>
      </w:r>
      <w:r>
        <w:rPr>
          <w:color w:val="000000" w:themeColor="text1"/>
          <w:sz w:val="28"/>
          <w:szCs w:val="28"/>
        </w:rPr>
        <w:t xml:space="preserve">Бердская</w:t>
      </w:r>
      <w:r>
        <w:rPr>
          <w:color w:val="000000" w:themeColor="text1"/>
          <w:sz w:val="28"/>
          <w:szCs w:val="28"/>
        </w:rPr>
        <w:t xml:space="preserve"> лесная дача» Новосибирской области: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наименовании слова </w:t>
      </w:r>
      <w:r>
        <w:rPr>
          <w:color w:val="000000" w:themeColor="text1"/>
          <w:sz w:val="28"/>
          <w:szCs w:val="28"/>
        </w:rPr>
        <w:t xml:space="preserve">«о режиме особой охраны территории памятника природы регионального значения» заменить словами «об особо охраняемой природной территории регионального значения – памятнике природы регионального значения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изложить в следующей редакции: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«1. Настоящее Положение разработано в соответствии с Федеральным законом от 10.01.2002 № 7-ФЗ «Об охране окружающей среды», Федеральным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законом от 14.03.1995 № 33-ФЗ «Об особо охраняемых природных территориях», Лесным кодексом Российской Федерации, Земельным кодексом Российской Федерации, Законом Новосибирской области от 26.09.2005 № 325-ОЗ «Об особо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охраняемых природных территориях в Новосибирской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».»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пунктом 2.1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2.1 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Леса, расположенные на территории памятника природы, 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являются городскими лесами и относятся 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к 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защитным лесам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.»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подпункт 5 пункта 3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создания условий для регулирования туризма и отдыха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</w:t>
      </w:r>
      <w:r>
        <w:rPr>
          <w:sz w:val="28"/>
          <w:szCs w:val="28"/>
          <w:highlight w:val="none"/>
        </w:rPr>
        <w:t xml:space="preserve">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«9.</w:t>
      </w:r>
      <w:r>
        <w:rPr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Границы и особенности режима осо</w:t>
      </w:r>
      <w:r>
        <w:rPr>
          <w:color w:val="000000" w:themeColor="text1"/>
          <w:sz w:val="28"/>
          <w:szCs w:val="28"/>
          <w:highlight w:val="none"/>
        </w:rPr>
        <w:t xml:space="preserve">бой охраны учитываются при 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 инвентаризации земель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11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первом слова «, за исключением части территории, занятой лесом,»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 в подпункте</w:t>
      </w:r>
      <w:r>
        <w:rPr>
          <w:sz w:val="28"/>
          <w:szCs w:val="28"/>
          <w:highlight w:val="none"/>
        </w:rPr>
        <w:t xml:space="preserve"> 1 слов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коллективного </w:t>
      </w:r>
      <w:r>
        <w:rPr>
          <w:sz w:val="28"/>
          <w:szCs w:val="28"/>
          <w:highlight w:val="none"/>
        </w:rPr>
        <w:t xml:space="preserve">садоводства и огородничества»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ведения </w:t>
      </w:r>
      <w:r>
        <w:rPr>
          <w:sz w:val="28"/>
          <w:szCs w:val="28"/>
          <w:highlight w:val="none"/>
        </w:rPr>
        <w:t xml:space="preserve">садоводства и огородничества для собственных нужд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 подпункт 3 после слова «земель» дополнить словами «, за исключением случаев, предусмотренных подпунктом 1 пункта 12 настоящего Положения;»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г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) </w:t>
      </w:r>
      <w:r>
        <w:rPr>
          <w:sz w:val="28"/>
          <w:szCs w:val="28"/>
          <w:highlight w:val="none"/>
        </w:rPr>
        <w:t xml:space="preserve">в подпункте 9 слова «бивуаков, туристических</w:t>
      </w:r>
      <w:r>
        <w:rPr>
          <w:sz w:val="28"/>
          <w:szCs w:val="28"/>
          <w:highlight w:val="none"/>
        </w:rPr>
        <w:t xml:space="preserve">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д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)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подпункт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13) </w:t>
      </w:r>
      <w:r>
        <w:rPr>
          <w:sz w:val="28"/>
          <w:szCs w:val="28"/>
          <w:highlight w:val="none"/>
        </w:rPr>
        <w:t xml:space="preserve">выпас</w:t>
      </w:r>
      <w:r>
        <w:rPr>
          <w:sz w:val="28"/>
          <w:szCs w:val="28"/>
          <w:highlight w:val="none"/>
        </w:rPr>
        <w:t xml:space="preserve"> и прогон сельскохозяйственных животных, сенокошение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е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дополнить подпунктами 16, 17, 18, 19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20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16) </w:t>
      </w:r>
      <w:r>
        <w:rPr>
          <w:sz w:val="28"/>
          <w:szCs w:val="28"/>
          <w:highlight w:val="none"/>
        </w:rPr>
        <w:t xml:space="preserve">заготовка живицы;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) сбор зоологических, ботанических и минералогических коллекций, а также палеонтологических объектов, за исключением осуществляемого в рамках научно-исследовательской деятельности в порядке, установленном законодательством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8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18) </w:t>
      </w:r>
      <w:r>
        <w:rPr>
          <w:sz w:val="28"/>
          <w:szCs w:val="28"/>
          <w:highlight w:val="none"/>
        </w:rPr>
        <w:t xml:space="preserve">промысловая, спортивная и любительская охота, </w:t>
      </w:r>
      <w:r>
        <w:rPr>
          <w:sz w:val="28"/>
          <w:szCs w:val="28"/>
          <w:highlight w:val="none"/>
        </w:rPr>
        <w:t xml:space="preserve">за исключением случаев, предусмотренных пунктом 13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</w:t>
      </w:r>
      <w:r>
        <w:rPr>
          <w:sz w:val="28"/>
          <w:szCs w:val="28"/>
          <w:highlight w:val="none"/>
        </w:rPr>
        <w:t xml:space="preserve">) рубки лесных насаждений, за исключением случаев, предусмотренных подпунктом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 пункта </w:t>
      </w:r>
      <w:r>
        <w:rPr>
          <w:sz w:val="28"/>
          <w:szCs w:val="28"/>
          <w:highlight w:val="none"/>
        </w:rPr>
        <w:t xml:space="preserve">12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) применение ядохимикатов, минеральных удобрений, химических средств защиты растений и стимуляторов роста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за исключением случаев использования </w:t>
      </w:r>
      <w:r>
        <w:rPr>
          <w:sz w:val="28"/>
          <w:szCs w:val="28"/>
          <w:highlight w:val="none"/>
        </w:rPr>
        <w:t xml:space="preserve">указанных </w:t>
      </w:r>
      <w:r>
        <w:rPr>
          <w:sz w:val="28"/>
          <w:szCs w:val="28"/>
          <w:highlight w:val="none"/>
        </w:rPr>
        <w:t xml:space="preserve">химических препаратов, не обладающих токсичным, канцерогенным или мутагенным воздействием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ind w:left="0"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12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первом слова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«, за исключением части территории, занятой лесом,» исключить;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подпункте 2 слова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любительское и спортивное рыболовство в соответствии с правилами, регламентирующими добычу (вылов) водных биоресурсов» исключить;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tabs>
          <w:tab w:val="left" w:pos="1500" w:leader="none"/>
        </w:tabs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подпункте 3 слова «проведение научно-исследовательских работ» заменить словами «осуществление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научной (научно-исследовательской)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деятельности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sz w:val="28"/>
          <w:szCs w:val="28"/>
          <w:highlight w:val="none"/>
        </w:rPr>
        <w:t xml:space="preserve">образовательной деятельности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г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</w:t>
      </w:r>
      <w:r>
        <w:rPr>
          <w:sz w:val="28"/>
          <w:szCs w:val="28"/>
          <w:highlight w:val="none"/>
        </w:rPr>
        <w:t xml:space="preserve">подпункт 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«5)</w:t>
      </w:r>
      <w:r>
        <w:rPr>
          <w:sz w:val="28"/>
          <w:szCs w:val="28"/>
          <w:highlight w:val="none"/>
          <w:lang w:val="en-US"/>
        </w:rPr>
        <w:t xml:space="preserve"> </w:t>
      </w:r>
      <w:r>
        <w:rPr>
          <w:sz w:val="28"/>
          <w:szCs w:val="28"/>
          <w:highlight w:val="none"/>
        </w:rPr>
        <w:t xml:space="preserve">движение и стоянка мех</w:t>
      </w:r>
      <w:r>
        <w:rPr>
          <w:sz w:val="28"/>
          <w:szCs w:val="28"/>
          <w:highlight w:val="none"/>
        </w:rPr>
        <w:t xml:space="preserve">анических транспортных средств лиц, находящихся при исполнении должностных (служебных) обязанностей, должностных лиц органов государственной власти Российской Федерации, органов государственной власти Новосибирской области, органов местного самоуправления,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 лиц, осуществляющих научн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(научно-исследовательск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деятельность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участвующих в мероприятиях по предупреждению и ликвидации чрезвычайных ситуаций, обеспечению пожарной безопасности и в тушении пожаров,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осуществляющих строительство и обслуживание гидротехнических сооружений;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д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</w:t>
      </w:r>
      <w:r>
        <w:rPr>
          <w:sz w:val="28"/>
          <w:szCs w:val="28"/>
          <w:highlight w:val="none"/>
        </w:rPr>
        <w:t xml:space="preserve">дополнить подпунктами 6, 7</w:t>
      </w:r>
      <w:r>
        <w:rPr>
          <w:sz w:val="28"/>
          <w:szCs w:val="28"/>
          <w:highlight w:val="none"/>
        </w:rPr>
        <w:t xml:space="preserve">, 8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) проведение рубок лесных насаждений в рамках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санитарно-оздоровительных мероприятий, в том числе</w:t>
      </w:r>
      <w:r>
        <w:rPr>
          <w:sz w:val="28"/>
          <w:szCs w:val="28"/>
          <w:highlight w:val="none"/>
        </w:rPr>
        <w:t xml:space="preserve"> рубок погибших и </w:t>
      </w:r>
      <w:r>
        <w:rPr>
          <w:sz w:val="28"/>
          <w:szCs w:val="28"/>
          <w:highlight w:val="none"/>
        </w:rPr>
        <w:t xml:space="preserve">поврежденных лесных насаждений</w:t>
      </w:r>
      <w:r>
        <w:rPr>
          <w:sz w:val="28"/>
          <w:szCs w:val="28"/>
          <w:highlight w:val="none"/>
        </w:rPr>
        <w:t xml:space="preserve">, рубок ухода за лесом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 лесным законодательством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проведение мероприятий по </w:t>
      </w:r>
      <w:r>
        <w:rPr>
          <w:sz w:val="28"/>
          <w:szCs w:val="28"/>
          <w:highlight w:val="none"/>
        </w:rPr>
        <w:t xml:space="preserve">берегоукреплению</w:t>
      </w:r>
      <w:r>
        <w:rPr>
          <w:sz w:val="28"/>
          <w:szCs w:val="28"/>
          <w:highlight w:val="none"/>
        </w:rPr>
        <w:t xml:space="preserve"> Новосибирского водохранилища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 </w:t>
      </w:r>
      <w:r>
        <w:rPr>
          <w:sz w:val="28"/>
          <w:szCs w:val="28"/>
          <w:highlight w:val="none"/>
        </w:rPr>
        <w:t xml:space="preserve">организация и обустройство экскурсионных экологических троп и маршрутов.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13 </w:t>
      </w:r>
      <w:r>
        <w:rPr>
          <w:sz w:val="28"/>
          <w:szCs w:val="28"/>
          <w:highlight w:val="none"/>
        </w:rPr>
        <w:t xml:space="preserve">слова «отстрел и»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пункте 14 слов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«федеральным» заменить </w:t>
      </w:r>
      <w:r>
        <w:rPr>
          <w:sz w:val="28"/>
          <w:szCs w:val="28"/>
          <w:highlight w:val="none"/>
        </w:rPr>
        <w:t xml:space="preserve">словом «лесным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</w:t>
      </w:r>
      <w:r>
        <w:rPr>
          <w:sz w:val="28"/>
          <w:szCs w:val="28"/>
          <w:highlight w:val="none"/>
        </w:rPr>
        <w:t xml:space="preserve">15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«15. Охрана памятника природы осуществляется в соответствии с Порядком охраны особо охраняемых природных территорий регионального значения на территории Новосибирской области, </w:t>
      </w:r>
      <w:r>
        <w:rPr>
          <w:sz w:val="28"/>
          <w:szCs w:val="28"/>
          <w:highlight w:val="none"/>
        </w:rPr>
        <w:t xml:space="preserve">установленным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постановлением Правительства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от 13.07.2020 № 284-п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ополнить </w:t>
      </w:r>
      <w:r>
        <w:rPr>
          <w:sz w:val="28"/>
          <w:szCs w:val="28"/>
          <w:highlight w:val="none"/>
        </w:rPr>
        <w:t xml:space="preserve">пунктом 15.1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«15.1. На территории памятника природы государственный надзор в области охраны и использования особо охраняемых природных территорий осуществляется в соответствии с </w:t>
      </w:r>
      <w:r>
        <w:rPr>
          <w:sz w:val="28"/>
          <w:szCs w:val="28"/>
          <w:highlight w:val="none"/>
        </w:rPr>
        <w:t xml:space="preserve">Положение</w:t>
      </w:r>
      <w:r>
        <w:rPr>
          <w:sz w:val="28"/>
          <w:szCs w:val="28"/>
          <w:highlight w:val="none"/>
        </w:rPr>
        <w:t xml:space="preserve">м 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утвержденным постановлением Правительства Новосибирской области от 27.10.2021 № 439-п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2)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</w:t>
      </w:r>
      <w:r>
        <w:rPr>
          <w:sz w:val="28"/>
          <w:szCs w:val="28"/>
          <w:highlight w:val="none"/>
        </w:rPr>
        <w:t xml:space="preserve">17 признать утратившим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3)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ополнить </w:t>
      </w:r>
      <w:r>
        <w:rPr>
          <w:sz w:val="28"/>
          <w:szCs w:val="28"/>
          <w:highlight w:val="none"/>
        </w:rPr>
        <w:t xml:space="preserve">пунктами</w:t>
      </w:r>
      <w:r>
        <w:rPr>
          <w:sz w:val="28"/>
          <w:szCs w:val="28"/>
          <w:highlight w:val="none"/>
        </w:rPr>
        <w:t xml:space="preserve"> 18</w:t>
      </w:r>
      <w:r>
        <w:rPr>
          <w:sz w:val="28"/>
          <w:szCs w:val="28"/>
          <w:highlight w:val="none"/>
        </w:rPr>
        <w:t xml:space="preserve">, 19, 20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«18. Посещение физическими лицами памятника природы осуществляется бесплатно.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19. Ответственность за нарушение установленного режима при </w:t>
      </w:r>
      <w:r>
        <w:rPr>
          <w:sz w:val="28"/>
          <w:szCs w:val="28"/>
          <w:highlight w:val="none"/>
        </w:rPr>
        <w:t xml:space="preserve">использовании</w:t>
      </w:r>
      <w:r>
        <w:rPr>
          <w:sz w:val="28"/>
          <w:szCs w:val="28"/>
          <w:highlight w:val="none"/>
        </w:rPr>
        <w:t xml:space="preserve"> окружающей среды и природных ресурсов на территории памятника природы наступает в соответствии с законодательством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20. 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соответствии с пунктом 14 статьи 2 Федерального закона № 33-ФЗ «Об особо охраняемых природных территориях», частью 7 статьи 36 Градостроительного кодекса, частью 1 статьи 8 Закона № 325</w:t>
      </w:r>
      <w:r>
        <w:rPr>
          <w:rFonts w:eastAsia="Calibri"/>
          <w:sz w:val="28"/>
          <w:szCs w:val="28"/>
          <w:highlight w:val="none"/>
          <w:lang w:eastAsia="en-US"/>
        </w:rPr>
        <w:noBreakHyphen/>
        <w:t xml:space="preserve">ОЗ «Об особо охраняемых природных территориях в Новосибирской области» устанавливаются виды разрешенного использования земельных участков, расположенных на территории памятника природы.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основным видам разрешенного использования земельных участков, расположенных в границах памятника природы, в соответствии с действующим </w:t>
      </w:r>
      <w:r>
        <w:rPr>
          <w:sz w:val="28"/>
          <w:szCs w:val="28"/>
          <w:highlight w:val="none"/>
        </w:rPr>
        <w:t xml:space="preserve">классификатором видов разрешенного использования земельных участков</w:t>
      </w:r>
      <w:r>
        <w:rPr>
          <w:sz w:val="28"/>
          <w:szCs w:val="28"/>
          <w:highlight w:val="none"/>
        </w:rPr>
        <w:t xml:space="preserve">, утвержденным приказом Федеральной службы государственной регистрации, кадастра и картографии от 10.11.2020 № П/0412 «Об утверждении классификатора видов разрешенного использования земельных участков», </w:t>
      </w:r>
      <w:r>
        <w:rPr>
          <w:sz w:val="28"/>
          <w:szCs w:val="28"/>
          <w:highlight w:val="none"/>
        </w:rPr>
        <w:t xml:space="preserve">относятся: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деятельность по особой охране и изучению природы </w:t>
      </w:r>
      <w:hyperlink r:id="rId12" w:tooltip="consultantplus://offline/ref=074FC0B399D4BC3B7F6071A722F320D5872FE40D6C4B906371835B4B345D8674DC190AB651671DB7C3707BA6EF4179530220E0460795437Fe6K2D" w:history="1">
        <w:r>
          <w:rPr>
            <w:sz w:val="28"/>
            <w:szCs w:val="28"/>
            <w:highlight w:val="none"/>
          </w:rPr>
          <w:t xml:space="preserve">(код 9.0)</w:t>
        </w:r>
      </w:hyperlink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охрана природных территорий </w:t>
      </w:r>
      <w:hyperlink r:id="rId13" w:tooltip="consultantplus://offline/ref=4992F7B6B66B5F25704EE9C15712D29E1758675EF2B3C6A5FAE65578B900EA3D089CF6F2F114CC2C292C080E90CFD4B3E21F66421EC7F5DFM1K4D" w:history="1">
        <w:r>
          <w:rPr>
            <w:sz w:val="28"/>
            <w:szCs w:val="28"/>
            <w:highlight w:val="none"/>
          </w:rPr>
          <w:t xml:space="preserve">(код 9.1)</w:t>
        </w:r>
      </w:hyperlink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</w:t>
      </w:r>
      <w:r>
        <w:rPr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спомогательны</w:t>
      </w:r>
      <w:r>
        <w:rPr>
          <w:color w:val="000000" w:themeColor="text1"/>
          <w:sz w:val="28"/>
          <w:szCs w:val="28"/>
          <w:highlight w:val="none"/>
        </w:rPr>
        <w:t xml:space="preserve">м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вид</w:t>
      </w:r>
      <w:r>
        <w:rPr>
          <w:sz w:val="28"/>
          <w:szCs w:val="28"/>
          <w:highlight w:val="none"/>
        </w:rPr>
        <w:t xml:space="preserve">ам</w:t>
      </w:r>
      <w:r>
        <w:rPr>
          <w:sz w:val="28"/>
          <w:szCs w:val="28"/>
          <w:highlight w:val="none"/>
        </w:rPr>
        <w:t xml:space="preserve"> разрешенного использования земельных участков, </w:t>
      </w:r>
      <w:r>
        <w:rPr>
          <w:sz w:val="28"/>
          <w:szCs w:val="28"/>
          <w:highlight w:val="none"/>
        </w:rPr>
        <w:t xml:space="preserve">расположенных в границах памятника природы, в соответствии с действующим классификатором видов разрешенного использования земельных участков относятся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природно-познавательный туризм (</w:t>
      </w:r>
      <w:r>
        <w:rPr>
          <w:sz w:val="28"/>
          <w:szCs w:val="28"/>
          <w:highlight w:val="none"/>
        </w:rPr>
        <w:t xml:space="preserve">код </w:t>
      </w:r>
      <w:r>
        <w:rPr>
          <w:sz w:val="28"/>
          <w:szCs w:val="28"/>
          <w:highlight w:val="none"/>
        </w:rPr>
        <w:t xml:space="preserve">5.2), для размещения экологических троп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резервные леса (10.4);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гидротехнические сооружения (</w:t>
      </w:r>
      <w:r>
        <w:rPr>
          <w:sz w:val="28"/>
          <w:szCs w:val="28"/>
          <w:highlight w:val="none"/>
        </w:rPr>
        <w:t xml:space="preserve">код </w:t>
      </w:r>
      <w:r>
        <w:rPr>
          <w:sz w:val="28"/>
          <w:szCs w:val="28"/>
          <w:highlight w:val="none"/>
        </w:rPr>
        <w:t xml:space="preserve">11.3)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Деятельность, предусмотренная основными</w:t>
      </w:r>
      <w:r>
        <w:rPr>
          <w:sz w:val="28"/>
          <w:szCs w:val="28"/>
          <w:highlight w:val="none"/>
        </w:rPr>
        <w:t xml:space="preserve"> и вспомогательными</w:t>
      </w:r>
      <w:r>
        <w:rPr>
          <w:sz w:val="28"/>
          <w:szCs w:val="28"/>
          <w:highlight w:val="none"/>
        </w:rPr>
        <w:t xml:space="preserve"> видами разрешенного использования земельных участков, расположенных в границах </w:t>
      </w:r>
      <w:r>
        <w:rPr>
          <w:sz w:val="28"/>
          <w:szCs w:val="28"/>
          <w:highlight w:val="none"/>
        </w:rPr>
        <w:t xml:space="preserve">памятника природы, осущест</w:t>
      </w:r>
      <w:r>
        <w:rPr>
          <w:sz w:val="28"/>
          <w:szCs w:val="28"/>
        </w:rPr>
        <w:t xml:space="preserve">вляется в соответствии с режимом особой охраны, установленным настоящим Положением.».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30" w:lineRule="auto"/>
        <w:shd w:val="clear" w:color="auto" w:fill="ffffff" w:themeFill="background1"/>
        <w:rPr>
          <w:sz w:val="18"/>
          <w:szCs w:val="18"/>
        </w:rPr>
      </w:pPr>
      <w:r>
        <w:rPr>
          <w:sz w:val="20"/>
          <w:szCs w:val="20"/>
        </w:rPr>
        <w:t xml:space="preserve">296 51 70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hd w:val="clear" w:color="auto" w:fill="ffffff" w:themeFill="background1"/>
        <w:rPr>
          <w:sz w:val="18"/>
          <w:szCs w:val="1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>
        <w:tblPrEx/>
        <w:trPr/>
        <w:tc>
          <w:tcPr>
            <w:tcW w:w="482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3"/>
        </w:trPr>
        <w:tc>
          <w:tcPr>
            <w:tcW w:w="4822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22" w:type="dxa"/>
            <w:textDirection w:val="lrTb"/>
            <w:noWrap w:val="false"/>
          </w:tcPr>
          <w:p>
            <w:pPr>
              <w:ind w:firstLine="142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2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 xml:space="preserve">Деркач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299"/>
        </w:trPr>
        <w:tc>
          <w:tcPr>
            <w:tcW w:w="4822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2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 природных ресурсов и 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Е.А. Шестернин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22" w:type="dxa"/>
            <w:textDirection w:val="lrTb"/>
            <w:noWrap w:val="false"/>
          </w:tcPr>
          <w:p>
            <w:pPr>
              <w:ind w:firstLine="142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2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тдел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 правового обеспечения деятельности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О.В. Бондаренко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63226830"/>
      <w:docPartObj>
        <w:docPartGallery w:val="Page Numbers (Top of Page)"/>
        <w:docPartUnique w:val="true"/>
      </w:docPartObj>
      <w:rPr/>
    </w:sdtPr>
    <w:sdtContent>
      <w:p>
        <w:pPr>
          <w:pStyle w:val="895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3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6"/>
    <w:next w:val="886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87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6"/>
    <w:next w:val="886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87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7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7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7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7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7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6"/>
    <w:next w:val="886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7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86"/>
    <w:next w:val="886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7"/>
    <w:link w:val="732"/>
    <w:uiPriority w:val="10"/>
    <w:rPr>
      <w:sz w:val="48"/>
      <w:szCs w:val="48"/>
    </w:rPr>
  </w:style>
  <w:style w:type="paragraph" w:styleId="734">
    <w:name w:val="Subtitle"/>
    <w:basedOn w:val="886"/>
    <w:next w:val="886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7"/>
    <w:link w:val="734"/>
    <w:uiPriority w:val="11"/>
    <w:rPr>
      <w:sz w:val="24"/>
      <w:szCs w:val="24"/>
    </w:rPr>
  </w:style>
  <w:style w:type="paragraph" w:styleId="736">
    <w:name w:val="Quote"/>
    <w:basedOn w:val="886"/>
    <w:next w:val="886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6"/>
    <w:next w:val="886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7"/>
    <w:link w:val="895"/>
    <w:uiPriority w:val="99"/>
  </w:style>
  <w:style w:type="character" w:styleId="741">
    <w:name w:val="Footer Char"/>
    <w:basedOn w:val="887"/>
    <w:link w:val="909"/>
    <w:uiPriority w:val="99"/>
  </w:style>
  <w:style w:type="paragraph" w:styleId="742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909"/>
    <w:uiPriority w:val="99"/>
  </w:style>
  <w:style w:type="table" w:styleId="744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7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7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Balloon Text"/>
    <w:basedOn w:val="886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887"/>
    <w:link w:val="89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4" w:customStyle="1">
    <w:name w:val="Верхний колонтитул Знак"/>
    <w:basedOn w:val="887"/>
    <w:link w:val="895"/>
    <w:uiPriority w:val="99"/>
  </w:style>
  <w:style w:type="paragraph" w:styleId="895">
    <w:name w:val="Header"/>
    <w:basedOn w:val="886"/>
    <w:link w:val="894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6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97">
    <w:name w:val="Table Grid"/>
    <w:basedOn w:val="88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8">
    <w:name w:val="Hyperlink"/>
    <w:basedOn w:val="887"/>
    <w:uiPriority w:val="99"/>
    <w:semiHidden/>
    <w:unhideWhenUsed/>
    <w:rPr>
      <w:color w:val="0000ff"/>
      <w:u w:val="single"/>
    </w:rPr>
  </w:style>
  <w:style w:type="character" w:styleId="899">
    <w:name w:val="Emphasis"/>
    <w:uiPriority w:val="20"/>
    <w:qFormat/>
    <w:rPr>
      <w:i/>
      <w:iCs/>
    </w:rPr>
  </w:style>
  <w:style w:type="character" w:styleId="900" w:customStyle="1">
    <w:name w:val="apple-converted-space"/>
    <w:basedOn w:val="887"/>
  </w:style>
  <w:style w:type="paragraph" w:styleId="901" w:customStyle="1">
    <w:name w:val="s_1"/>
    <w:basedOn w:val="886"/>
    <w:pPr>
      <w:spacing w:before="100" w:beforeAutospacing="1" w:after="100" w:afterAutospacing="1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03">
    <w:name w:val="annotation reference"/>
    <w:basedOn w:val="887"/>
    <w:uiPriority w:val="99"/>
    <w:semiHidden/>
    <w:unhideWhenUsed/>
    <w:rPr>
      <w:sz w:val="16"/>
      <w:szCs w:val="16"/>
    </w:rPr>
  </w:style>
  <w:style w:type="paragraph" w:styleId="904">
    <w:name w:val="annotation text"/>
    <w:basedOn w:val="886"/>
    <w:link w:val="905"/>
    <w:uiPriority w:val="99"/>
    <w:semiHidden/>
    <w:unhideWhenUsed/>
    <w:rPr>
      <w:sz w:val="20"/>
      <w:szCs w:val="20"/>
    </w:rPr>
  </w:style>
  <w:style w:type="character" w:styleId="905" w:customStyle="1">
    <w:name w:val="Текст примечания Знак"/>
    <w:basedOn w:val="887"/>
    <w:link w:val="90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6" w:customStyle="1">
    <w:name w:val="Гипертекстовая ссылка"/>
    <w:basedOn w:val="887"/>
    <w:uiPriority w:val="99"/>
    <w:rPr>
      <w:color w:val="106bbe"/>
    </w:rPr>
  </w:style>
  <w:style w:type="paragraph" w:styleId="907">
    <w:name w:val="List Paragraph"/>
    <w:basedOn w:val="886"/>
    <w:uiPriority w:val="34"/>
    <w:qFormat/>
    <w:pPr>
      <w:contextualSpacing/>
      <w:ind w:left="720"/>
    </w:pPr>
  </w:style>
  <w:style w:type="paragraph" w:styleId="908" w:customStyle="1">
    <w:name w:val="S_Обычный жирный"/>
    <w:basedOn w:val="886"/>
    <w:qFormat/>
    <w:pPr>
      <w:ind w:firstLine="709"/>
      <w:jc w:val="both"/>
    </w:pPr>
    <w:rPr>
      <w:sz w:val="28"/>
      <w:szCs w:val="28"/>
    </w:rPr>
  </w:style>
  <w:style w:type="paragraph" w:styleId="909">
    <w:name w:val="Footer"/>
    <w:basedOn w:val="886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887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>
    <w:name w:val="annotation subject"/>
    <w:basedOn w:val="904"/>
    <w:next w:val="904"/>
    <w:link w:val="912"/>
    <w:uiPriority w:val="99"/>
    <w:semiHidden/>
    <w:unhideWhenUsed/>
    <w:rPr>
      <w:b/>
      <w:bCs/>
    </w:rPr>
  </w:style>
  <w:style w:type="character" w:styleId="912" w:customStyle="1">
    <w:name w:val="Тема примечания Знак"/>
    <w:basedOn w:val="905"/>
    <w:link w:val="91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74FC0B399D4BC3B7F6071A722F320D5872FE40D6C4B906371835B4B345D8674DC190AB651671DB7C3707BA6EF4179530220E0460795437Fe6K2D" TargetMode="External"/><Relationship Id="rId13" Type="http://schemas.openxmlformats.org/officeDocument/2006/relationships/hyperlink" Target="consultantplus://offline/ref=4992F7B6B66B5F25704EE9C15712D29E1758675EF2B3C6A5FAE65578B900EA3D089CF6F2F114CC2C292C080E90CFD4B3E21F66421EC7F5DFM1K4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E185-5B20-4B81-ADBB-38BFCA83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11</cp:revision>
  <dcterms:created xsi:type="dcterms:W3CDTF">2023-03-16T08:59:00Z</dcterms:created>
  <dcterms:modified xsi:type="dcterms:W3CDTF">2024-08-02T09:23:51Z</dcterms:modified>
</cp:coreProperties>
</file>