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МИНИСТЕРСТВО ЭКОНОМИЧЕСКОГО РАЗВИТИЯ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ПОЯСНИТЕЛЬНАЯ ЗАПИСКА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«О внесении изменени</w:t>
      </w:r>
      <w:r>
        <w:rPr>
          <w:b/>
          <w:spacing w:val="-4"/>
          <w:sz w:val="28"/>
          <w:szCs w:val="28"/>
        </w:rPr>
        <w:t xml:space="preserve">й в постановление Правительства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 от 09.12.2014 № 477-п»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Проектом постановления Правительства Новосибирской области «</w:t>
      </w:r>
      <w:r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 xml:space="preserve">» (далее – Проект) предусматриваются следующие изменения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 (далее – государственная программа):</w:t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bCs/>
          <w:spacing w:val="-4"/>
          <w:sz w:val="28"/>
          <w:szCs w:val="28"/>
        </w:rPr>
        <w:t xml:space="preserve">1</w:t>
      </w:r>
      <w:r>
        <w:rPr>
          <w:bCs/>
          <w:spacing w:val="-4"/>
          <w:sz w:val="28"/>
          <w:szCs w:val="28"/>
        </w:rPr>
        <w:t xml:space="preserve">.</w:t>
      </w:r>
      <w:r>
        <w:rPr>
          <w:bCs/>
          <w:spacing w:val="-4"/>
          <w:sz w:val="28"/>
          <w:szCs w:val="28"/>
        </w:rPr>
        <w:t xml:space="preserve"> </w:t>
      </w:r>
      <w:r>
        <w:rPr>
          <w:bCs/>
          <w:spacing w:val="-4"/>
          <w:sz w:val="28"/>
          <w:szCs w:val="28"/>
        </w:rPr>
        <w:t xml:space="preserve">Приведение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объема </w:t>
      </w:r>
      <w:r>
        <w:rPr>
          <w:bCs/>
          <w:spacing w:val="-4"/>
          <w:sz w:val="28"/>
          <w:szCs w:val="28"/>
        </w:rPr>
        <w:t xml:space="preserve">финансирования</w:t>
      </w:r>
      <w:r>
        <w:rPr>
          <w:bCs/>
          <w:spacing w:val="-4"/>
          <w:sz w:val="28"/>
          <w:szCs w:val="28"/>
        </w:rPr>
        <w:t xml:space="preserve"> государственной программы</w:t>
      </w:r>
      <w:r>
        <w:rPr>
          <w:bCs/>
          <w:spacing w:val="-4"/>
          <w:sz w:val="28"/>
          <w:szCs w:val="28"/>
        </w:rPr>
        <w:t xml:space="preserve"> на 2023</w:t>
      </w:r>
      <w:r>
        <w:rPr>
          <w:bCs/>
          <w:spacing w:val="-4"/>
          <w:sz w:val="28"/>
          <w:szCs w:val="28"/>
        </w:rPr>
        <w:t xml:space="preserve"> год в соответствие с</w:t>
      </w:r>
      <w:r>
        <w:rPr>
          <w:bCs/>
          <w:spacing w:val="-4"/>
          <w:sz w:val="28"/>
          <w:szCs w:val="28"/>
        </w:rPr>
        <w:t xml:space="preserve"> уточненной бюджетной росписью областного бюджета Новосибирской обл</w:t>
      </w:r>
      <w:r>
        <w:rPr>
          <w:bCs/>
          <w:spacing w:val="-4"/>
          <w:sz w:val="28"/>
          <w:szCs w:val="28"/>
        </w:rPr>
        <w:t xml:space="preserve">асти по состоянию на 31.12.2023, согласно которой о</w:t>
      </w:r>
      <w:r>
        <w:rPr>
          <w:sz w:val="28"/>
          <w:szCs w:val="28"/>
        </w:rPr>
        <w:t xml:space="preserve">бщий объем бюджетных ассигнований, предусмотренных на реализацию государственной программы </w:t>
      </w:r>
      <w:r>
        <w:rPr>
          <w:sz w:val="28"/>
          <w:szCs w:val="28"/>
        </w:rPr>
        <w:t xml:space="preserve">в 2023 году</w:t>
      </w:r>
      <w:r>
        <w:rPr>
          <w:sz w:val="28"/>
          <w:szCs w:val="28"/>
        </w:rPr>
        <w:t xml:space="preserve">, составляет </w:t>
      </w:r>
      <w:r>
        <w:rPr>
          <w:b/>
          <w:sz w:val="28"/>
          <w:szCs w:val="28"/>
        </w:rPr>
        <w:t xml:space="preserve">1 </w:t>
      </w:r>
      <w:r>
        <w:rPr>
          <w:b/>
          <w:sz w:val="28"/>
          <w:szCs w:val="28"/>
        </w:rPr>
        <w:t xml:space="preserve">021 </w:t>
      </w:r>
      <w:r>
        <w:rPr>
          <w:b/>
          <w:sz w:val="28"/>
          <w:szCs w:val="28"/>
        </w:rPr>
        <w:t xml:space="preserve">673,4</w:t>
      </w:r>
      <w:r>
        <w:rPr>
          <w:b/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 </w:t>
      </w:r>
      <w:r>
        <w:rPr>
          <w:b/>
          <w:bCs/>
          <w:sz w:val="28"/>
          <w:szCs w:val="28"/>
        </w:rPr>
        <w:t xml:space="preserve">1 021 073,4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тыс. рублей</w:t>
      </w:r>
      <w:r>
        <w:rPr>
          <w:sz w:val="28"/>
          <w:szCs w:val="28"/>
        </w:rPr>
        <w:t xml:space="preserve"> – на реализацию </w:t>
      </w:r>
      <w:r>
        <w:rPr>
          <w:bCs/>
          <w:spacing w:val="-4"/>
          <w:sz w:val="28"/>
          <w:szCs w:val="28"/>
        </w:rPr>
        <w:t xml:space="preserve">О</w:t>
      </w:r>
      <w:r>
        <w:rPr>
          <w:bCs/>
          <w:spacing w:val="-4"/>
          <w:sz w:val="28"/>
          <w:szCs w:val="28"/>
        </w:rPr>
        <w:t xml:space="preserve">сновного мероприятия 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предоставления государственных и муниципальных услуг в </w:t>
      </w:r>
      <w:r>
        <w:rPr>
          <w:sz w:val="28"/>
          <w:szCs w:val="28"/>
        </w:rPr>
        <w:t xml:space="preserve">многофункциональных центрах </w:t>
      </w:r>
      <w:r>
        <w:rPr>
          <w:sz w:val="28"/>
          <w:szCs w:val="28"/>
        </w:rPr>
        <w:t xml:space="preserve">Новосибирской области, развитие </w:t>
      </w:r>
      <w:r>
        <w:rPr>
          <w:sz w:val="28"/>
          <w:szCs w:val="28"/>
        </w:rPr>
        <w:t xml:space="preserve">многофункциональных центров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 на 2023</w:t>
      </w:r>
      <w:r>
        <w:rPr>
          <w:sz w:val="28"/>
          <w:szCs w:val="28"/>
        </w:rPr>
        <w:t xml:space="preserve"> год. По сравнению с действующей редакцией государственной программы финансирование указанного мероприятия увеличено в 2023 году на </w:t>
      </w:r>
      <w:r>
        <w:rPr>
          <w:b/>
          <w:bCs/>
          <w:sz w:val="28"/>
          <w:szCs w:val="28"/>
        </w:rPr>
        <w:t xml:space="preserve">29 </w:t>
      </w:r>
      <w:r>
        <w:rPr>
          <w:b/>
          <w:bCs/>
          <w:sz w:val="28"/>
          <w:szCs w:val="28"/>
        </w:rPr>
        <w:t xml:space="preserve">588,1</w:t>
      </w:r>
      <w:r>
        <w:rPr>
          <w:b/>
          <w:bCs/>
          <w:sz w:val="28"/>
          <w:szCs w:val="28"/>
        </w:rPr>
        <w:t xml:space="preserve"> тыс. рублей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Средства направлены на финансовое обеспечение выполнения </w:t>
      </w:r>
      <w:r>
        <w:rPr>
          <w:sz w:val="28"/>
          <w:szCs w:val="28"/>
        </w:rPr>
        <w:t xml:space="preserve">ГАУ НСО «МФЦ»</w:t>
      </w:r>
      <w:r>
        <w:rPr>
          <w:sz w:val="28"/>
          <w:szCs w:val="28"/>
        </w:rPr>
        <w:t xml:space="preserve"> государственного задания;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2)</w:t>
      </w:r>
      <w:r>
        <w:rPr>
          <w:b w:val="0"/>
          <w:bCs w:val="0"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600,0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тыс. рублей</w:t>
      </w:r>
      <w:r>
        <w:rPr>
          <w:sz w:val="28"/>
          <w:szCs w:val="28"/>
          <w:highlight w:val="none"/>
        </w:rPr>
        <w:t xml:space="preserve"> – на реализацию </w:t>
      </w:r>
      <w:r>
        <w:rPr>
          <w:bCs/>
          <w:spacing w:val="-4"/>
          <w:sz w:val="28"/>
          <w:szCs w:val="28"/>
        </w:rPr>
        <w:t xml:space="preserve">О</w:t>
      </w:r>
      <w:r>
        <w:rPr>
          <w:bCs/>
          <w:spacing w:val="-4"/>
          <w:sz w:val="28"/>
          <w:szCs w:val="28"/>
        </w:rPr>
        <w:t xml:space="preserve">сновного мероприятия 2 </w:t>
      </w:r>
      <w:r>
        <w:rPr>
          <w:sz w:val="28"/>
          <w:szCs w:val="28"/>
        </w:rPr>
        <w:t xml:space="preserve">«Проведение мониторинга качества и досту</w:t>
      </w:r>
      <w:r>
        <w:rPr>
          <w:sz w:val="28"/>
          <w:szCs w:val="28"/>
        </w:rPr>
        <w:t xml:space="preserve">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</w:t>
      </w:r>
      <w:r>
        <w:rPr>
          <w:sz w:val="28"/>
          <w:szCs w:val="28"/>
        </w:rPr>
        <w:t xml:space="preserve"> (указанная сумма предусмотрена в действующей редакции государственной программы).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Приведение государственной программы в соответствие с требованиями постановления Правительства Новосибирской области </w:t>
      </w:r>
      <w:r>
        <w:rPr>
          <w:sz w:val="28"/>
          <w:szCs w:val="28"/>
        </w:rPr>
        <w:t xml:space="preserve">от 28.03.2014 № 125-п (в ред. от 18.12.2023) «О Порядке принятия решений о разработке государственных программ Новосибирской области, а также формирования и реализации указанных программ»</w:t>
      </w:r>
      <w:r>
        <w:rPr>
          <w:sz w:val="28"/>
          <w:szCs w:val="28"/>
        </w:rPr>
        <w:t xml:space="preserve"> в связи с внедрением в Новосибирской области нового подхода к системе управления государственными программами (аналогичного федеральному), начиная с 2024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Проектом предлагается: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rFonts w:ascii="TimesNewRoman" w:hAnsi="TimesNewRoman" w:eastAsia="TimesNewRoman" w:cs="TimesNewRoman"/>
          <w:sz w:val="28"/>
        </w:rPr>
        <w:t xml:space="preserve">включить в государственную программу раздел «Стратегические приоритеты </w:t>
      </w:r>
      <w:r>
        <w:rPr>
          <w:rFonts w:ascii="TimesNewRoman" w:hAnsi="TimesNewRoman" w:eastAsia="TimesNewRoman" w:cs="TimesNewRoman"/>
          <w:sz w:val="28"/>
        </w:rPr>
        <w:t xml:space="preserve">в сфере реализации государственной программы</w:t>
      </w:r>
      <w:r>
        <w:rPr>
          <w:rFonts w:ascii="TimesNewRoman" w:hAnsi="TimesNewRoman" w:eastAsia="TimesNewRoman" w:cs="TimesNewRoman"/>
          <w:sz w:val="28"/>
        </w:rPr>
        <w:t xml:space="preserve">», содержащий </w:t>
      </w:r>
      <w:r>
        <w:rPr>
          <w:rFonts w:ascii="TimesNewRoman" w:hAnsi="TimesNewRoman" w:eastAsia="TimesNewRoman" w:cs="TimesNewRoman"/>
          <w:sz w:val="28"/>
        </w:rPr>
        <w:t xml:space="preserve">описание текущей ситуации, приоритетов, цели и задачи государственной порграммы на период до 2030 года (в соответствии со сроками реализации Стратегии социально-экономического развития Новосибирской области до 2030 года</w:t>
      </w:r>
      <w:r>
        <w:rPr>
          <w:rStyle w:val="875"/>
          <w:rFonts w:ascii="TimesNewRoman" w:hAnsi="TimesNewRoman" w:eastAsia="TimesNewRoman" w:cs="TimesNewRoman"/>
          <w:sz w:val="28"/>
        </w:rPr>
        <w:footnoteReference w:id="2"/>
      </w:r>
      <w:r>
        <w:rPr>
          <w:rFonts w:ascii="TimesNewRoman" w:hAnsi="TimesNewRoman" w:eastAsia="TimesNewRoman" w:cs="TimesNewRoman"/>
          <w:sz w:val="28"/>
        </w:rPr>
        <w:t xml:space="preserve">).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признать утратившими силу: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 разделы государственной программы: </w:t>
      </w:r>
      <w:r>
        <w:rPr>
          <w:rFonts w:ascii="TimesNewRoman" w:hAnsi="TimesNewRoman" w:eastAsia="TimesNewRoman" w:cs="TimesNewRoman"/>
          <w:sz w:val="28"/>
        </w:rPr>
        <w:t xml:space="preserve">II «Обоснование необходимости реализации государственной программы»; </w:t>
      </w:r>
      <w:r>
        <w:rPr>
          <w:rFonts w:ascii="TimesNewRoman" w:hAnsi="TimesNewRoman" w:eastAsia="TimesNewRoman" w:cs="TimesNewRoman"/>
          <w:sz w:val="28"/>
        </w:rPr>
        <w:t xml:space="preserve">IV «Система основных мероприятий государственной программы»;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  <w:t xml:space="preserve">- приложение № 2 к государственной программе (перечень основных мероприятий на период до 2019 года);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sz w:val="28"/>
        </w:rPr>
        <w:t xml:space="preserve">3) 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ограничить срок действия приложений № 1 (перечень целевых индикаторов), № 2.1 (основные мероприятия с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 2019 по 2023 годы) и № 3 (сводные финансовые затраты) до 01.06.2024, с учетом сроков 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проведения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 оценки эффективности реализации государственных программ Новосибирской области по итогам 2023 года</w:t>
      </w:r>
      <w:r>
        <w:rPr>
          <w:rStyle w:val="875"/>
          <w:rFonts w:ascii="TimesNewRoman" w:hAnsi="TimesNewRoman" w:eastAsia="TimesNewRoman" w:cs="TimesNewRoman"/>
          <w:sz w:val="28"/>
          <w:highlight w:val="none"/>
        </w:rPr>
        <w:footnoteReference w:id="3"/>
      </w:r>
      <w:r>
        <w:rPr>
          <w:rFonts w:ascii="TimesNewRoman" w:hAnsi="TimesNewRoman" w:eastAsia="TimesNewRoman" w:cs="TimesNewRoman"/>
          <w:sz w:val="28"/>
        </w:rPr>
        <w:t xml:space="preserve">.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ind w:left="0" w:firstLine="709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highlight w:val="none"/>
        </w:rPr>
        <w:t xml:space="preserve">Также Проектом предусматривается изменение в п. 4 </w:t>
      </w:r>
      <w:r>
        <w:rPr>
          <w:rFonts w:ascii="TimesNewRoman" w:hAnsi="TimesNewRoman" w:eastAsia="TimesNewRoman" w:cs="TimesNewRoman"/>
          <w:sz w:val="28"/>
        </w:rPr>
        <w:t xml:space="preserve">Порядка финансирования мероприятий, предусмотренных государственной программой (далее – Порядок финансирования), в части исключения направления финансирования, связанного с оплатой Минэкономразвития НСО государственных кон</w:t>
      </w:r>
      <w:r>
        <w:rPr>
          <w:rFonts w:ascii="TimesNewRoman" w:hAnsi="TimesNewRoman" w:eastAsia="TimesNewRoman" w:cs="TimesNewRoman"/>
          <w:sz w:val="28"/>
        </w:rPr>
        <w:t xml:space="preserve">трактов и гражданско-правовых договоров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нужд». Указанное изменение обусловлено тем, что 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  <w:t xml:space="preserve">из перечня мероприятий, реализуемых в рамках государственной программы, исключено </w:t>
      </w:r>
      <w:r>
        <w:rPr>
          <w:spacing w:val="-4"/>
          <w:sz w:val="28"/>
          <w:szCs w:val="28"/>
          <w:highlight w:val="none"/>
        </w:rPr>
        <w:t xml:space="preserve">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</w:t>
      </w:r>
      <w:r>
        <w:rPr>
          <w:spacing w:val="-4"/>
          <w:sz w:val="28"/>
          <w:szCs w:val="28"/>
          <w:highlight w:val="none"/>
        </w:rPr>
        <w:t xml:space="preserve">ринципу «одного окна» на базе многофункциональных центров»</w:t>
      </w:r>
      <w:r>
        <w:rPr>
          <w:rStyle w:val="875"/>
          <w:spacing w:val="-4"/>
          <w:sz w:val="28"/>
          <w:szCs w:val="28"/>
          <w:highlight w:val="none"/>
        </w:rPr>
        <w:footnoteReference w:id="4"/>
      </w:r>
      <w:r>
        <w:rPr>
          <w:spacing w:val="-4"/>
          <w:sz w:val="28"/>
          <w:szCs w:val="28"/>
          <w:highlight w:val="none"/>
        </w:rPr>
        <w:t xml:space="preserve">. </w:t>
      </w:r>
      <w:r>
        <w:rPr>
          <w:spacing w:val="-4"/>
          <w:sz w:val="28"/>
          <w:szCs w:val="28"/>
          <w:highlight w:val="none"/>
        </w:rPr>
        <w:t xml:space="preserve">Д</w:t>
      </w:r>
      <w:r>
        <w:rPr>
          <w:spacing w:val="-4"/>
          <w:sz w:val="28"/>
          <w:szCs w:val="28"/>
          <w:highlight w:val="none"/>
        </w:rPr>
        <w:t xml:space="preserve">ля получения объективной информации о качестве и доступности государственных и муниципальных услуг на федеральном уровне поэтапно к 2024 году сформирована система мониторинга деятельности органов всех уровней публичной власти в указанной сфере, а также МФЦ</w:t>
      </w:r>
      <w:r>
        <w:rPr>
          <w:spacing w:val="-4"/>
          <w:sz w:val="28"/>
          <w:szCs w:val="28"/>
          <w:highlight w:val="none"/>
        </w:rPr>
        <w:t xml:space="preserve">. Оценка </w:t>
      </w:r>
      <w:r>
        <w:rPr>
          <w:spacing w:val="-4"/>
          <w:sz w:val="28"/>
          <w:szCs w:val="28"/>
          <w:highlight w:val="none"/>
        </w:rPr>
        <w:t xml:space="preserve">фактических </w:t>
      </w:r>
      <w:r>
        <w:rPr>
          <w:spacing w:val="-4"/>
          <w:sz w:val="28"/>
          <w:szCs w:val="28"/>
          <w:highlight w:val="none"/>
        </w:rPr>
        <w:t xml:space="preserve">значений показателей качества и доступности государственных и муниципальных услуг (включая уровень удовлетворенности получателей услуг качеством их предоставления, время ожидания в очереди и т.д.) осуществляется посредством следующих информационных систем: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- </w:t>
      </w:r>
      <w:r>
        <w:rPr>
          <w:spacing w:val="-4"/>
          <w:sz w:val="28"/>
          <w:szCs w:val="28"/>
          <w:highlight w:val="none"/>
        </w:rPr>
        <w:t xml:space="preserve">ИАС «Мониторинг качества государственных услуг» (система «Ваш ко</w:t>
      </w:r>
      <w:r>
        <w:rPr>
          <w:spacing w:val="-4"/>
          <w:sz w:val="28"/>
          <w:szCs w:val="28"/>
          <w:highlight w:val="none"/>
        </w:rPr>
        <w:t xml:space="preserve">нтроль»);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- ФГИС «Единый портал государственных и муниципальных услуг (функций)» (далее – ЕПГУ);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- </w:t>
      </w:r>
      <w:r>
        <w:rPr>
          <w:spacing w:val="-4"/>
          <w:sz w:val="28"/>
          <w:szCs w:val="28"/>
          <w:highlight w:val="none"/>
        </w:rPr>
        <w:t xml:space="preserve">информационная система мониторинга деятельности МФЦ (ИС МДМ).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Мониторинг и оценка деятельности сети МФЦ осуществляются также </w:t>
      </w:r>
      <w:r>
        <w:rPr>
          <w:spacing w:val="-4"/>
          <w:sz w:val="28"/>
          <w:szCs w:val="28"/>
          <w:highlight w:val="none"/>
        </w:rPr>
        <w:t xml:space="preserve">посредством функционального модуля ГИС НСО «Центр приема государственных услуг» – системы бизнес-анализа BI.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Таким образом, дальнейшая реализация мероприятия по проведению мониторинга за счет средств областного бюджета Новосибирской области нецелесообразна.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огласование Проекта с органами местного самоуправления муниципальных образований Новосибирской области не требуется, поскольку их участие в реализации мероприятий государственной программы </w:t>
      </w:r>
      <w:r>
        <w:rPr>
          <w:sz w:val="28"/>
          <w:szCs w:val="28"/>
        </w:rPr>
        <w:t xml:space="preserve">в 2024</w:t>
      </w:r>
      <w:r>
        <w:rPr>
          <w:sz w:val="28"/>
          <w:szCs w:val="28"/>
        </w:rPr>
        <w:t xml:space="preserve"> году и далее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со статьей 7.1 Закона Новосибирской области от 25.12.2006 № 80-ОЗ «О нормативных правовых актах Новосибирской области» П</w:t>
      </w:r>
      <w:r>
        <w:rPr>
          <w:sz w:val="28"/>
          <w:szCs w:val="28"/>
        </w:rPr>
        <w:t xml:space="preserve">роект не подлежит проведению оценки регулирующего воздействия, поскольку </w:t>
      </w:r>
      <w:r>
        <w:rPr>
          <w:color w:val="333333"/>
          <w:sz w:val="28"/>
          <w:szCs w:val="28"/>
        </w:rPr>
        <w:t xml:space="preserve">не </w:t>
      </w:r>
      <w:r>
        <w:rPr>
          <w:sz w:val="28"/>
          <w:szCs w:val="28"/>
        </w:rPr>
        <w:t xml:space="preserve">устанавливает новые обязанности (не изменяет ранее установленные обязанности) для субъектов предприним</w:t>
      </w:r>
      <w:r>
        <w:rPr>
          <w:sz w:val="28"/>
          <w:szCs w:val="28"/>
        </w:rPr>
        <w:t xml:space="preserve">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экономического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Л.Н. Решетников</w:t>
      </w:r>
      <w:r>
        <w:rPr>
          <w:rFonts w:asciiTheme="minorHAnsi" w:hAnsiTheme="minorHAnsi" w:cstheme="minorBidi"/>
          <w:sz w:val="28"/>
          <w:szCs w:val="28"/>
        </w:rPr>
      </w:r>
      <w:r>
        <w:rPr>
          <w:rFonts w:asciiTheme="minorHAnsi" w:hAnsiTheme="minorHAnsi" w:cstheme="minorBidi"/>
          <w:sz w:val="28"/>
          <w:szCs w:val="28"/>
        </w:rPr>
      </w:r>
    </w:p>
    <w:p>
      <w:pPr>
        <w:ind w:firstLine="851"/>
        <w:jc w:val="both"/>
        <w:widowControl w:val="off"/>
      </w:pPr>
      <w:r/>
      <w:r/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Е.П. Шадрина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238 61 10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567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73"/>
        <w:jc w:val="both"/>
      </w:pPr>
      <w:r>
        <w:rPr>
          <w:rStyle w:val="875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Утверждена постановлением Правительства Новосибирской области от 19.03.2019 № 105-п.</w:t>
      </w:r>
      <w:r/>
      <w:r/>
    </w:p>
  </w:footnote>
  <w:footnote w:id="3">
    <w:p>
      <w:pPr>
        <w:pStyle w:val="873"/>
        <w:jc w:val="both"/>
      </w:pPr>
      <w:r>
        <w:rPr>
          <w:rStyle w:val="875"/>
        </w:rPr>
        <w:footnoteRef/>
      </w:r>
      <w:r>
        <w:t xml:space="preserve"> </w:t>
      </w:r>
      <w:r>
        <w:t xml:space="preserve">Порядок </w:t>
      </w:r>
      <w:r>
        <w:t xml:space="preserve">проведения оценки эффективности реализации государственных </w:t>
      </w:r>
      <w:r>
        <w:t xml:space="preserve">программ Новосибирской области по итогам 2015 - 2023 годов утвержден постановлением Правительства Новосибирской области </w:t>
      </w:r>
      <w:r>
        <w:t xml:space="preserve">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  <w:r/>
    </w:p>
  </w:footnote>
  <w:footnote w:id="4">
    <w:p>
      <w:pPr>
        <w:pStyle w:val="873"/>
      </w:pPr>
      <w:r>
        <w:rPr>
          <w:rStyle w:val="875"/>
        </w:rPr>
        <w:footnoteRef/>
      </w:r>
      <w:r>
        <w:t xml:space="preserve"> В действующей редакции государственной программы – Основное мероприятие 2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337237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0"/>
    <w:next w:val="890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basedOn w:val="891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0"/>
    <w:next w:val="890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91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1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1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1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1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1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1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898"/>
    <w:uiPriority w:val="99"/>
  </w:style>
  <w:style w:type="character" w:styleId="744">
    <w:name w:val="Footer Char"/>
    <w:basedOn w:val="891"/>
    <w:link w:val="900"/>
    <w:uiPriority w:val="99"/>
  </w:style>
  <w:style w:type="paragraph" w:styleId="745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900"/>
    <w:uiPriority w:val="99"/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1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1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rPr>
      <w:sz w:val="24"/>
      <w:szCs w:val="24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Balloon Text"/>
    <w:basedOn w:val="890"/>
    <w:link w:val="895"/>
    <w:uiPriority w:val="99"/>
    <w:semiHidden/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91"/>
    <w:link w:val="894"/>
    <w:uiPriority w:val="99"/>
    <w:semiHidden/>
    <w:rPr>
      <w:sz w:val="0"/>
      <w:szCs w:val="0"/>
    </w:rPr>
  </w:style>
  <w:style w:type="paragraph" w:styleId="896">
    <w:name w:val="Normal (Web)"/>
    <w:basedOn w:val="890"/>
    <w:uiPriority w:val="99"/>
    <w:pPr>
      <w:spacing w:before="100" w:beforeAutospacing="1" w:after="100" w:afterAutospacing="1"/>
    </w:pPr>
  </w:style>
  <w:style w:type="character" w:styleId="897">
    <w:name w:val="Emphasis"/>
    <w:basedOn w:val="891"/>
    <w:uiPriority w:val="99"/>
    <w:qFormat/>
    <w:rPr>
      <w:rFonts w:cs="Times New Roman"/>
      <w:i/>
      <w:iCs/>
    </w:rPr>
  </w:style>
  <w:style w:type="paragraph" w:styleId="898">
    <w:name w:val="Header"/>
    <w:basedOn w:val="890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1"/>
    <w:link w:val="898"/>
    <w:uiPriority w:val="99"/>
    <w:rPr>
      <w:sz w:val="24"/>
      <w:szCs w:val="24"/>
    </w:rPr>
  </w:style>
  <w:style w:type="paragraph" w:styleId="900">
    <w:name w:val="Footer"/>
    <w:basedOn w:val="890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91"/>
    <w:link w:val="900"/>
    <w:uiPriority w:val="99"/>
    <w:rPr>
      <w:sz w:val="24"/>
      <w:szCs w:val="24"/>
    </w:rPr>
  </w:style>
  <w:style w:type="paragraph" w:styleId="902">
    <w:name w:val="Plain Text"/>
    <w:basedOn w:val="890"/>
    <w:link w:val="903"/>
    <w:uiPriority w:val="99"/>
    <w:rPr>
      <w:rFonts w:ascii="Courier New" w:hAnsi="Courier New" w:cs="Courier New"/>
      <w:sz w:val="20"/>
      <w:szCs w:val="20"/>
    </w:rPr>
  </w:style>
  <w:style w:type="character" w:styleId="903" w:customStyle="1">
    <w:name w:val="Текст Знак"/>
    <w:basedOn w:val="891"/>
    <w:link w:val="902"/>
    <w:uiPriority w:val="99"/>
    <w:rPr>
      <w:rFonts w:ascii="Courier New" w:hAnsi="Courier New" w:cs="Courier New"/>
      <w:sz w:val="20"/>
      <w:szCs w:val="20"/>
    </w:rPr>
  </w:style>
  <w:style w:type="paragraph" w:styleId="904">
    <w:name w:val="List Paragraph"/>
    <w:basedOn w:val="890"/>
    <w:uiPriority w:val="34"/>
    <w:qFormat/>
    <w:pPr>
      <w:contextualSpacing/>
      <w:ind w:left="720"/>
    </w:pPr>
  </w:style>
  <w:style w:type="character" w:styleId="905">
    <w:name w:val="Hyperlink"/>
    <w:basedOn w:val="891"/>
    <w:uiPriority w:val="99"/>
    <w:semiHidden/>
    <w:unhideWhenUsed/>
    <w:rPr>
      <w:color w:val="0000ff"/>
      <w:u w:val="single"/>
    </w:rPr>
  </w:style>
  <w:style w:type="paragraph" w:styleId="906" w:customStyle="1">
    <w:name w:val="ConsPlusCell"/>
    <w:pPr>
      <w:widowControl w:val="off"/>
    </w:pPr>
    <w:rPr>
      <w:rFonts w:ascii="Arial" w:hAnsi="Arial" w:cs="Arial"/>
      <w:sz w:val="20"/>
      <w:szCs w:val="20"/>
    </w:rPr>
  </w:style>
  <w:style w:type="paragraph" w:styleId="907" w:customStyle="1">
    <w:name w:val="ConsPlusNormal"/>
    <w:basedOn w:val="890"/>
    <w:rPr>
      <w:rFonts w:eastAsiaTheme="minorHAnsi"/>
      <w:sz w:val="28"/>
      <w:szCs w:val="28"/>
    </w:rPr>
  </w:style>
  <w:style w:type="paragraph" w:styleId="908">
    <w:name w:val="Body Text"/>
    <w:basedOn w:val="890"/>
    <w:link w:val="909"/>
    <w:uiPriority w:val="99"/>
    <w:semiHidden/>
    <w:unhideWhenUsed/>
    <w:pPr>
      <w:spacing w:after="120"/>
    </w:pPr>
    <w:rPr>
      <w:rFonts w:eastAsiaTheme="minorHAnsi"/>
    </w:rPr>
  </w:style>
  <w:style w:type="character" w:styleId="909" w:customStyle="1">
    <w:name w:val="Основной текст Знак"/>
    <w:basedOn w:val="891"/>
    <w:link w:val="908"/>
    <w:uiPriority w:val="99"/>
    <w:semiHidden/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CA6A-1064-4C35-A478-7877C632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revision>21</cp:revision>
  <dcterms:created xsi:type="dcterms:W3CDTF">2023-01-11T07:53:00Z</dcterms:created>
  <dcterms:modified xsi:type="dcterms:W3CDTF">2024-01-31T08:52:57Z</dcterms:modified>
</cp:coreProperties>
</file>