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ЖИЛИЩНО-КОММУНАЛЬНОГО ХОЗЯЙСТВА </w:t>
      </w:r>
      <w:r>
        <w:rPr>
          <w:b/>
          <w:sz w:val="28"/>
          <w:szCs w:val="28"/>
        </w:rPr>
        <w:t xml:space="preserve">И ЭНЕГЕТИКИ </w:t>
      </w:r>
      <w:r>
        <w:rPr>
          <w:b/>
          <w:sz w:val="28"/>
          <w:szCs w:val="28"/>
        </w:rPr>
        <w:t xml:space="preserve">НОВОСИБИРСКОЙ ОБЛАСТИ</w:t>
      </w:r>
      <w:r/>
    </w:p>
    <w:p>
      <w:pPr>
        <w:pStyle w:val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/>
    </w:p>
    <w:p>
      <w:pPr>
        <w:pStyle w:val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</w:t>
      </w:r>
      <w:r>
        <w:rPr>
          <w:sz w:val="28"/>
          <w:szCs w:val="28"/>
        </w:rPr>
        <w:t xml:space="preserve">ства Новосибирской области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16.02.2015 № 66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/>
    </w:p>
    <w:p>
      <w:pPr>
        <w:pStyle w:val="82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к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изменений в государственную программу</w:t>
      </w:r>
      <w:r>
        <w:rPr>
          <w:sz w:val="28"/>
          <w:szCs w:val="28"/>
        </w:rPr>
        <w:t xml:space="preserve"> Новосибирской области «</w:t>
      </w:r>
      <w:r>
        <w:rPr>
          <w:sz w:val="28"/>
          <w:szCs w:val="28"/>
        </w:rPr>
        <w:t xml:space="preserve">Жилищно-коммунальное хозяйство </w:t>
      </w:r>
      <w:r>
        <w:rPr>
          <w:sz w:val="28"/>
          <w:szCs w:val="28"/>
        </w:rPr>
        <w:t xml:space="preserve">Новосибир</w:t>
      </w:r>
      <w:r>
        <w:rPr>
          <w:sz w:val="28"/>
          <w:szCs w:val="28"/>
        </w:rPr>
        <w:t xml:space="preserve">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проект программы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программу</w:t>
      </w:r>
      <w:r>
        <w:rPr>
          <w:sz w:val="28"/>
          <w:szCs w:val="28"/>
        </w:rPr>
        <w:t xml:space="preserve"> внесены в части</w:t>
      </w:r>
      <w:r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«Благоустройство территорий населенных пунктов»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подпрограмма</w:t>
      </w:r>
      <w:r>
        <w:rPr>
          <w:sz w:val="28"/>
          <w:szCs w:val="28"/>
        </w:rPr>
        <w:t xml:space="preserve"> Благоустройство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0"/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1. </w:t>
      </w:r>
      <w:r>
        <w:rPr>
          <w:bCs/>
          <w:sz w:val="28"/>
          <w:szCs w:val="28"/>
        </w:rPr>
        <w:t xml:space="preserve">Актуализированы с</w:t>
      </w:r>
      <w:r>
        <w:rPr>
          <w:bCs/>
          <w:sz w:val="28"/>
          <w:szCs w:val="28"/>
        </w:rPr>
        <w:t xml:space="preserve">ледующие Приложения к подпрограмме</w:t>
      </w:r>
      <w:r>
        <w:t xml:space="preserve"> </w:t>
      </w:r>
      <w:r>
        <w:rPr>
          <w:bCs/>
          <w:sz w:val="28"/>
          <w:szCs w:val="28"/>
        </w:rPr>
        <w:t xml:space="preserve">Благоустройство</w:t>
      </w:r>
      <w:r>
        <w:rPr>
          <w:bCs/>
          <w:sz w:val="28"/>
          <w:szCs w:val="28"/>
        </w:rPr>
        <w:t xml:space="preserve">:</w:t>
      </w:r>
      <w:r/>
    </w:p>
    <w:p>
      <w:pPr>
        <w:ind w:firstLine="709"/>
        <w:jc w:val="both"/>
      </w:pPr>
      <w:r>
        <w:rPr>
          <w:rFonts w:eastAsia="Courier New"/>
          <w:sz w:val="28"/>
          <w:szCs w:val="28"/>
        </w:rPr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 № </w:t>
      </w:r>
      <w:r>
        <w:rPr>
          <w:bCs/>
          <w:sz w:val="28"/>
          <w:szCs w:val="28"/>
        </w:rPr>
        <w:t xml:space="preserve">2 к подпрограмме «Адресный перечень дворовых территорий многоквартирных домов населенных пунктов Новосибирской области, нуждающихся в благоустройстве (с учетом их физического состояния) и подлежащих благоустройству в период 2020-2024 годов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№ 3 к подпрограмме «Адресный перечень общественных пространств населенных пунктов Новос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бирской области, нуждающихся в </w:t>
      </w:r>
      <w:r>
        <w:rPr>
          <w:bCs/>
          <w:sz w:val="28"/>
          <w:szCs w:val="28"/>
        </w:rPr>
        <w:t xml:space="preserve">благоустройстве (с учетом их физического состояния) 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подлежащих благоустройству в период 2020-2024 годов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 № 4 «Адресный перечень территорий, нуждающихся в благоустройстве </w:t>
      </w:r>
      <w:r>
        <w:rPr>
          <w:bCs/>
          <w:sz w:val="28"/>
          <w:szCs w:val="28"/>
        </w:rPr>
        <w:t xml:space="preserve">и подлежащих благоустройству в </w:t>
      </w:r>
      <w:r>
        <w:rPr>
          <w:bCs/>
          <w:sz w:val="28"/>
          <w:szCs w:val="28"/>
        </w:rPr>
        <w:t xml:space="preserve">рамках подпрограммы «Благоустройство территорий населенных пунктов» государственной программы </w:t>
      </w:r>
      <w:r>
        <w:rPr>
          <w:bCs/>
          <w:sz w:val="28"/>
          <w:szCs w:val="28"/>
        </w:rPr>
        <w:t xml:space="preserve">Новосибирской области «Жилищно-коммунальное хозяйство Новосибирской области» в 2021 году»</w:t>
      </w:r>
      <w:r>
        <w:rPr>
          <w:bCs/>
          <w:sz w:val="28"/>
          <w:szCs w:val="28"/>
        </w:rPr>
        <w:t xml:space="preserve">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 </w:t>
      </w:r>
      <w:r>
        <w:rPr>
          <w:bCs/>
          <w:sz w:val="28"/>
          <w:szCs w:val="28"/>
        </w:rPr>
        <w:t xml:space="preserve">№ 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«Адресный перечень территорий, нуждающихся в благоустройстве и подлежащих б</w:t>
      </w:r>
      <w:r>
        <w:rPr>
          <w:bCs/>
          <w:sz w:val="28"/>
          <w:szCs w:val="28"/>
        </w:rPr>
        <w:t xml:space="preserve">лагоустройству в </w:t>
      </w:r>
      <w:r>
        <w:rPr>
          <w:bCs/>
          <w:sz w:val="28"/>
          <w:szCs w:val="28"/>
        </w:rPr>
        <w:t xml:space="preserve">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оду»;</w:t>
      </w:r>
      <w:r/>
    </w:p>
    <w:p>
      <w:pPr>
        <w:ind w:firstLine="709"/>
        <w:jc w:val="both"/>
        <w:rPr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риложение </w:t>
      </w:r>
      <w:r>
        <w:rPr>
          <w:bCs/>
          <w:sz w:val="28"/>
          <w:szCs w:val="28"/>
        </w:rPr>
        <w:t xml:space="preserve">№ 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«Адресный перечень территорий, нуждающихся в благоустройстве и подлежащих б</w:t>
      </w:r>
      <w:r>
        <w:rPr>
          <w:bCs/>
          <w:sz w:val="28"/>
          <w:szCs w:val="28"/>
        </w:rPr>
        <w:t xml:space="preserve">лагоустройству в </w:t>
      </w:r>
      <w:r>
        <w:rPr>
          <w:bCs/>
          <w:sz w:val="28"/>
          <w:szCs w:val="28"/>
        </w:rPr>
        <w:t xml:space="preserve">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оду» </w:t>
      </w:r>
      <w:r>
        <w:rPr>
          <w:bCs/>
          <w:sz w:val="28"/>
          <w:szCs w:val="28"/>
        </w:rPr>
        <w:t xml:space="preserve">изложить в редакции согласно П</w:t>
      </w:r>
      <w:r>
        <w:rPr>
          <w:bCs/>
          <w:sz w:val="28"/>
          <w:szCs w:val="28"/>
        </w:rPr>
        <w:t xml:space="preserve">риложению № 5 к настоящему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20"/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2. </w:t>
      </w:r>
      <w:r>
        <w:rPr>
          <w:bCs/>
          <w:sz w:val="28"/>
          <w:szCs w:val="28"/>
        </w:rPr>
        <w:t xml:space="preserve">В соответствии с требованиями </w:t>
      </w:r>
      <w:r>
        <w:rPr>
          <w:bCs/>
          <w:sz w:val="28"/>
          <w:szCs w:val="28"/>
        </w:rPr>
        <w:t xml:space="preserve">Приложени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15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1710 </w:t>
      </w:r>
      <w:r>
        <w:rPr>
          <w:bCs/>
          <w:sz w:val="28"/>
          <w:szCs w:val="28"/>
        </w:rPr>
        <w:t xml:space="preserve">(далее – Приложение № 15) подпрограмма </w:t>
      </w:r>
      <w:r>
        <w:rPr>
          <w:bCs/>
          <w:sz w:val="28"/>
          <w:szCs w:val="28"/>
        </w:rPr>
        <w:t xml:space="preserve">Благоустройство </w:t>
      </w:r>
      <w:r>
        <w:rPr>
          <w:bCs/>
          <w:sz w:val="28"/>
          <w:szCs w:val="28"/>
        </w:rPr>
        <w:t xml:space="preserve">дополнена</w:t>
      </w:r>
      <w:r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риложением № 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«Адресный пе</w:t>
      </w:r>
      <w:r>
        <w:rPr>
          <w:bCs/>
          <w:sz w:val="28"/>
          <w:szCs w:val="28"/>
        </w:rPr>
        <w:t xml:space="preserve">речень территорий, нуждающихся в благоустройстве и подлежащих благоустройству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году»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pPr>
        <w:pStyle w:val="820"/>
        <w:ind w:firstLine="709"/>
        <w:jc w:val="both"/>
      </w:pPr>
      <w:r>
        <w:rPr>
          <w:bCs/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В соответствии с подпунктом 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пункта 32 </w:t>
      </w:r>
      <w:r>
        <w:rPr>
          <w:sz w:val="28"/>
          <w:szCs w:val="28"/>
        </w:rPr>
        <w:t xml:space="preserve">Правил предоставления средств государственной поддержки из федерального бюджета бюджетам субъектов Российской Федерации для поощрения</w:t>
      </w:r>
      <w:r>
        <w:rPr>
          <w:sz w:val="28"/>
          <w:szCs w:val="28"/>
        </w:rPr>
        <w:t xml:space="preserve">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>
        <w:rPr>
          <w:sz w:val="28"/>
          <w:szCs w:val="28"/>
        </w:rPr>
        <w:t xml:space="preserve">, утвержденных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от 07.03.2018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237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условием предоставления </w:t>
      </w:r>
      <w:r>
        <w:rPr>
          <w:sz w:val="28"/>
          <w:szCs w:val="28"/>
        </w:rPr>
        <w:t xml:space="preserve"> иного межбюджетного трансферта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наличие утвержденной нормативным правовым актом</w:t>
      </w:r>
      <w:r>
        <w:rPr>
          <w:sz w:val="28"/>
          <w:szCs w:val="28"/>
        </w:rPr>
        <w:t xml:space="preserve"> субъекта Российской Федерации государственной программы, предусматривающей мероприятия, связанные с реализацией до 31 декабря года, следующего за годом предоставления иного межбюджетного трансферта, проекта муниципального образования - победителя конкурса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Победителями </w:t>
      </w:r>
      <w:r>
        <w:rPr>
          <w:sz w:val="28"/>
          <w:szCs w:val="28"/>
          <w:highlight w:val="none"/>
          <w:lang w:val="en-US"/>
        </w:rPr>
        <w:t xml:space="preserve">VIII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Всероссийского конкурса лучших проектов создания комфортной городской среды</w:t>
      </w:r>
      <w:r>
        <w:rPr>
          <w:sz w:val="28"/>
          <w:szCs w:val="28"/>
          <w:highlight w:val="none"/>
          <w:lang w:val="ru-RU"/>
        </w:rPr>
        <w:t xml:space="preserve"> от Новосибирской области признаны 3 проекта:</w:t>
      </w:r>
      <w:r>
        <w:rPr>
          <w:sz w:val="28"/>
          <w:szCs w:val="28"/>
          <w:highlight w:val="none"/>
          <w:lang w:val="ru-RU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  <w:lang w:val="ru-RU"/>
        </w:rPr>
        <w:t xml:space="preserve">«Благоустройство общественной территории по ул. Набережная, г. Болотное, Новосибирской области»;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  <w:lang w:val="ru-RU"/>
        </w:rPr>
        <w:t xml:space="preserve">«Благоустройство парковой территории по ул. Щорса в г. Карасуке Новосибирской области»; </w:t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 «Благоустройство общественного пространства территории в районе улицы Городская Роща (парк «Победы» и парк «Березовая роща) г. Куйбышев Новосибирской области».</w:t>
      </w:r>
      <w:r>
        <w:rPr>
          <w:sz w:val="28"/>
          <w:szCs w:val="28"/>
          <w:highlight w:val="none"/>
        </w:rPr>
      </w:r>
      <w:r/>
    </w:p>
    <w:p>
      <w:pPr>
        <w:pStyle w:val="82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Порядок предоставления субсидий» приложения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 к государственной программе «Порядок предоставления и распределе</w:t>
      </w:r>
      <w:r>
        <w:rPr>
          <w:sz w:val="28"/>
          <w:szCs w:val="28"/>
        </w:rPr>
        <w:t xml:space="preserve">ния субсидий местным бюджетам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</w:t>
      </w:r>
      <w:r>
        <w:rPr>
          <w:sz w:val="28"/>
          <w:szCs w:val="28"/>
        </w:rPr>
        <w:t xml:space="preserve"> дополнен новыми условиями предоставления субсидии: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во исполнение требований пп. «к» п. 10 Приложения № 15 добавлено требование </w:t>
      </w:r>
      <w:r>
        <w:rPr>
          <w:sz w:val="28"/>
          <w:szCs w:val="28"/>
          <w:highlight w:val="none"/>
        </w:rPr>
        <w:t xml:space="preserve">устанавливать информационные конструкции (щиты, стенды)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целях ускорения сроков поставки элементов детских и спортивных площадок включено условие об </w:t>
      </w:r>
      <w:r>
        <w:rPr>
          <w:sz w:val="28"/>
          <w:szCs w:val="28"/>
          <w:highlight w:val="white"/>
        </w:rPr>
        <w:t xml:space="preserve">авансировани</w:t>
      </w:r>
      <w:r>
        <w:rPr>
          <w:sz w:val="28"/>
          <w:szCs w:val="28"/>
          <w:highlight w:val="none"/>
        </w:rPr>
        <w:t xml:space="preserve">и </w:t>
      </w:r>
      <w:r>
        <w:rPr>
          <w:sz w:val="28"/>
          <w:szCs w:val="28"/>
          <w:highlight w:val="white"/>
        </w:rPr>
        <w:t xml:space="preserve"> муниципальных контрактах (договорах), предусматривающих закупку оборудования для устройства детских и (или) спортивных площадок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целях разграничения полномочий по контролю за реализацией подпрограммы Благоустройство между министерством жилищно-коммунального хозяйства и энергетики Новосибирской области и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«Проектная дирекция министерства жилищно-коммунального хозяйства и энергетики Новосибирской области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none"/>
        </w:rPr>
        <w:t xml:space="preserve"> определены условия предоставления субсидии, контролируемые последним.</w:t>
      </w:r>
      <w:r>
        <w:rPr>
          <w:sz w:val="28"/>
          <w:szCs w:val="28"/>
          <w:highlight w:val="none"/>
        </w:rPr>
      </w:r>
      <w:r/>
    </w:p>
    <w:p>
      <w:pPr>
        <w:pStyle w:val="82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программы не затрагивает параметров областного бюджета Новосибирской области.</w:t>
      </w:r>
      <w:r>
        <w:rPr>
          <w:sz w:val="28"/>
          <w:szCs w:val="28"/>
        </w:rPr>
      </w:r>
      <w:r/>
    </w:p>
    <w:p>
      <w:pPr>
        <w:pStyle w:val="820"/>
        <w:ind w:firstLine="709"/>
        <w:jc w:val="both"/>
      </w:pPr>
      <w:r>
        <w:rPr>
          <w:sz w:val="28"/>
          <w:szCs w:val="28"/>
        </w:rPr>
        <w:t xml:space="preserve">Изменения, вносимые в подпрограмму, не требуют внесения изменений в План</w:t>
      </w:r>
      <w:r>
        <w:rPr>
          <w:sz w:val="28"/>
          <w:szCs w:val="28"/>
        </w:rPr>
        <w:t xml:space="preserve"> реализации мероприятий и методики расчета значений целевых индикаторов государственной п</w:t>
      </w:r>
      <w:r>
        <w:rPr>
          <w:sz w:val="28"/>
          <w:szCs w:val="28"/>
        </w:rPr>
        <w:t xml:space="preserve">рограммы Новосибирской области «</w:t>
      </w:r>
      <w:r>
        <w:rPr>
          <w:sz w:val="28"/>
          <w:szCs w:val="28"/>
        </w:rPr>
        <w:t xml:space="preserve">Жилищно-коммунальное </w:t>
      </w:r>
      <w:r>
        <w:rPr>
          <w:sz w:val="28"/>
          <w:szCs w:val="28"/>
        </w:rPr>
        <w:t xml:space="preserve">хозяйство Новосибирской области», утвержденный приказом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ЖКХиЭ </w:t>
      </w:r>
      <w:r>
        <w:rPr>
          <w:sz w:val="28"/>
          <w:szCs w:val="28"/>
        </w:rPr>
        <w:t xml:space="preserve">НСО</w:t>
      </w:r>
      <w:r>
        <w:rPr>
          <w:sz w:val="28"/>
          <w:szCs w:val="28"/>
        </w:rPr>
        <w:t xml:space="preserve"> от 31.03.2023</w:t>
      </w:r>
      <w:r>
        <w:rPr>
          <w:sz w:val="28"/>
          <w:szCs w:val="28"/>
        </w:rPr>
        <w:t xml:space="preserve"> № 27-НПА.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2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пунктом 20 Порядка</w:t>
      </w:r>
      <w:r>
        <w:rPr>
          <w:sz w:val="28"/>
          <w:szCs w:val="28"/>
        </w:rPr>
        <w:t xml:space="preserve"> принятия решений о разработке государственных программ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 также формирования и реализации указанных программ</w:t>
      </w:r>
      <w:r>
        <w:rPr>
          <w:sz w:val="28"/>
          <w:szCs w:val="28"/>
        </w:rPr>
        <w:t xml:space="preserve">, утвержденного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Новосибирской области от 28.03.2014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125-п</w:t>
      </w:r>
      <w:r>
        <w:rPr>
          <w:sz w:val="28"/>
          <w:szCs w:val="28"/>
        </w:rPr>
        <w:t xml:space="preserve">, проект программы направлен в </w:t>
      </w:r>
      <w:r>
        <w:rPr>
          <w:sz w:val="28"/>
          <w:szCs w:val="28"/>
        </w:rPr>
        <w:t xml:space="preserve">Контрольно-счетную палату Новосибирской области и </w:t>
      </w:r>
      <w:r>
        <w:rPr>
          <w:sz w:val="28"/>
          <w:szCs w:val="28"/>
        </w:rPr>
        <w:t xml:space="preserve">Законодательное Собрание Новосибирской области. 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0"/>
        <w:ind w:firstLine="709"/>
        <w:jc w:val="both"/>
      </w:pPr>
      <w:r>
        <w:rPr>
          <w:sz w:val="28"/>
          <w:szCs w:val="28"/>
        </w:rPr>
        <w:t xml:space="preserve">Проект программы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  <w:r/>
    </w:p>
    <w:p>
      <w:pPr>
        <w:pStyle w:val="8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жилищно-коммунального </w:t>
      </w: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Д.Н. Архипов</w:t>
      </w:r>
      <w:r>
        <w:rPr>
          <w:sz w:val="28"/>
          <w:szCs w:val="28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2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Г.А. Катцин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pStyle w:val="820"/>
        <w:rPr>
          <w:sz w:val="20"/>
          <w:szCs w:val="20"/>
        </w:rPr>
      </w:pPr>
      <w:r>
        <w:rPr>
          <w:sz w:val="20"/>
          <w:szCs w:val="20"/>
        </w:rPr>
        <w:t xml:space="preserve">238 76 2</w:t>
      </w:r>
      <w:r>
        <w:rPr>
          <w:sz w:val="20"/>
          <w:szCs w:val="20"/>
        </w:rPr>
        <w:t xml:space="preserve">7</w:t>
      </w:r>
      <w:r/>
    </w:p>
    <w:sectPr>
      <w:footnotePr/>
      <w:endnotePr/>
      <w:type w:val="nextPage"/>
      <w:pgSz w:w="11906" w:h="16838" w:orient="portrait"/>
      <w:pgMar w:top="1134" w:right="707" w:bottom="1247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20"/>
        <w:ind w:left="1719" w:hanging="101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658" w:hanging="95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character" w:styleId="821">
    <w:name w:val="Основной шрифт абзаца"/>
    <w:next w:val="821"/>
    <w:link w:val="820"/>
    <w:semiHidden/>
  </w:style>
  <w:style w:type="table" w:styleId="822">
    <w:name w:val="Обычная таблица"/>
    <w:next w:val="822"/>
    <w:link w:val="820"/>
    <w:semiHidden/>
    <w:tblPr/>
  </w:style>
  <w:style w:type="numbering" w:styleId="823">
    <w:name w:val="Нет списка"/>
    <w:next w:val="823"/>
    <w:link w:val="820"/>
    <w:semiHidden/>
  </w:style>
  <w:style w:type="paragraph" w:styleId="824">
    <w:name w:val="ConsPlusNonformat"/>
    <w:next w:val="824"/>
    <w:link w:val="820"/>
    <w:uiPriority w:val="99"/>
    <w:rPr>
      <w:rFonts w:ascii="Courier New" w:hAnsi="Courier New" w:cs="Courier New"/>
      <w:lang w:val="ru-RU" w:eastAsia="ru-RU" w:bidi="ar-SA"/>
    </w:rPr>
  </w:style>
  <w:style w:type="paragraph" w:styleId="825">
    <w:name w:val="Текст выноски"/>
    <w:basedOn w:val="820"/>
    <w:next w:val="825"/>
    <w:link w:val="826"/>
    <w:rPr>
      <w:rFonts w:ascii="Tahoma" w:hAnsi="Tahoma"/>
      <w:sz w:val="16"/>
      <w:szCs w:val="16"/>
      <w:lang w:val="en-US" w:eastAsia="en-US"/>
    </w:rPr>
  </w:style>
  <w:style w:type="character" w:styleId="826">
    <w:name w:val="Текст выноски Знак"/>
    <w:next w:val="826"/>
    <w:link w:val="825"/>
    <w:rPr>
      <w:rFonts w:ascii="Tahoma" w:hAnsi="Tahoma" w:cs="Tahoma"/>
      <w:sz w:val="16"/>
      <w:szCs w:val="16"/>
    </w:rPr>
  </w:style>
  <w:style w:type="table" w:styleId="827">
    <w:name w:val="Сетка таблицы"/>
    <w:basedOn w:val="822"/>
    <w:next w:val="827"/>
    <w:link w:val="820"/>
    <w:tblPr/>
  </w:style>
  <w:style w:type="paragraph" w:styleId="828">
    <w:name w:val="ConsPlusNormal"/>
    <w:next w:val="828"/>
    <w:link w:val="820"/>
    <w:rPr>
      <w:sz w:val="26"/>
      <w:szCs w:val="26"/>
      <w:lang w:val="ru-RU" w:eastAsia="ru-RU" w:bidi="ar-SA"/>
    </w:rPr>
  </w:style>
  <w:style w:type="character" w:styleId="829">
    <w:name w:val="Знак примечания"/>
    <w:next w:val="829"/>
    <w:link w:val="820"/>
    <w:rPr>
      <w:sz w:val="16"/>
      <w:szCs w:val="16"/>
    </w:rPr>
  </w:style>
  <w:style w:type="paragraph" w:styleId="830">
    <w:name w:val="Текст примечания"/>
    <w:basedOn w:val="820"/>
    <w:next w:val="830"/>
    <w:link w:val="831"/>
    <w:rPr>
      <w:sz w:val="20"/>
      <w:szCs w:val="20"/>
    </w:rPr>
  </w:style>
  <w:style w:type="character" w:styleId="831">
    <w:name w:val="Текст примечания Знак"/>
    <w:basedOn w:val="821"/>
    <w:next w:val="831"/>
    <w:link w:val="830"/>
  </w:style>
  <w:style w:type="paragraph" w:styleId="832">
    <w:name w:val="Тема примечания"/>
    <w:basedOn w:val="830"/>
    <w:next w:val="830"/>
    <w:link w:val="833"/>
    <w:rPr>
      <w:b/>
      <w:bCs/>
      <w:lang w:val="en-US" w:eastAsia="en-US"/>
    </w:rPr>
  </w:style>
  <w:style w:type="character" w:styleId="833">
    <w:name w:val="Тема примечания Знак"/>
    <w:next w:val="833"/>
    <w:link w:val="832"/>
    <w:rPr>
      <w:b/>
      <w:bCs/>
    </w:rPr>
  </w:style>
  <w:style w:type="paragraph" w:styleId="834">
    <w:name w:val="ConsPlusCell"/>
    <w:next w:val="834"/>
    <w:link w:val="820"/>
    <w:pPr>
      <w:widowControl w:val="off"/>
    </w:pPr>
    <w:rPr>
      <w:rFonts w:ascii="Arial" w:hAnsi="Arial" w:cs="Arial"/>
      <w:lang w:val="ru-RU" w:eastAsia="ru-RU" w:bidi="ar-SA"/>
    </w:rPr>
  </w:style>
  <w:style w:type="character" w:styleId="835" w:default="1">
    <w:name w:val="Default Paragraph Font"/>
    <w:uiPriority w:val="1"/>
    <w:semiHidden/>
    <w:unhideWhenUsed/>
  </w:style>
  <w:style w:type="numbering" w:styleId="836" w:default="1">
    <w:name w:val="No List"/>
    <w:uiPriority w:val="99"/>
    <w:semiHidden/>
    <w:unhideWhenUsed/>
  </w:style>
  <w:style w:type="table" w:styleId="8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 И ЖИЛИЩНО-КОММУНАЛЬНОГО ХОЗЯЙСТВА НОВОСИБИРСКОЙ ОБЛАСТИ</dc:title>
  <dc:creator>nat</dc:creator>
  <cp:revision>13</cp:revision>
  <dcterms:created xsi:type="dcterms:W3CDTF">2022-09-27T03:55:00Z</dcterms:created>
  <dcterms:modified xsi:type="dcterms:W3CDTF">2023-10-18T05:05:21Z</dcterms:modified>
  <cp:version>1048576</cp:version>
</cp:coreProperties>
</file>