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5529" w:right="-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П</w:t>
      </w:r>
      <w:r>
        <w:rPr>
          <w:rFonts w:ascii="Times New Roman" w:hAnsi="Times New Roman"/>
          <w:sz w:val="28"/>
          <w:szCs w:val="28"/>
        </w:rPr>
        <w:t xml:space="preserve">равительства</w:t>
      </w:r>
      <w:r/>
    </w:p>
    <w:p>
      <w:pPr>
        <w:pStyle w:val="616"/>
        <w:ind w:left="552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№ 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 w:right="-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 w:right="-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 w:right="-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аспоряжени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равительства</w:t>
      </w:r>
      <w:r/>
    </w:p>
    <w:p>
      <w:pPr>
        <w:pStyle w:val="616"/>
        <w:ind w:left="552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left="552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24.09.20</w:t>
      </w:r>
      <w:r>
        <w:rPr>
          <w:rFonts w:ascii="Times New Roman" w:hAnsi="Times New Roman"/>
          <w:sz w:val="28"/>
          <w:szCs w:val="28"/>
        </w:rPr>
        <w:t xml:space="preserve">19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393-рп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6"/>
        <w:ind w:right="-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16"/>
        <w:ind w:right="-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КОМПЛЕКС МЕР</w:t>
      </w:r>
      <w:r/>
    </w:p>
    <w:p>
      <w:pPr>
        <w:pStyle w:val="61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(дорожная карта) по созданию новых мест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году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1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tbl>
      <w:tblPr>
        <w:tblW w:w="10264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5"/>
        <w:gridCol w:w="3168"/>
        <w:gridCol w:w="2126"/>
        <w:gridCol w:w="2835"/>
        <w:gridCol w:w="1560"/>
      </w:tblGrid>
      <w:tr>
        <w:trPr>
          <w:tblHeader/>
        </w:trPr>
        <w:tc>
          <w:tcPr>
            <w:tcW w:w="57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316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должностное лицо в составе регионального ведомственного проектного офиса, ответственное за создание новых мест дополнительного образования детей (далее – новые места, РВПО)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Приказ министерства образования Новосибирской области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октября 2023 года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план-график создания новых мест 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Новосибирской области, Федеральный оператор 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министерства образования Новосибирской области 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ноября 2023 года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Проведены самообследование и мониторинг инфраструктурных условий реализации дополнительных общеобразовательных программ всех направленностей на новых местах дополнительного образования детей в субъектах Российской Федерации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Новосибирской области 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форме, установленной Федеральным оператором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ноября 2023 года 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 проект перечня средств обучения и воспитания для создания новых мест, информация о дополнительных общеразвивающих программах, для реализации которых составлен указанный перечень, а также список образовате</w:t>
            </w:r>
            <w:r>
              <w:rPr>
                <w:sz w:val="28"/>
                <w:szCs w:val="28"/>
              </w:rPr>
              <w:t xml:space="preserve">льных организаций, на базе которых запланирована реализация указанных программ, по форме, установленной Федеральным оператором, в целях получения заключений от федеральных ресурсных центров по направленностям дополнительного образования детей (далее – ФРЦ)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Новосибирской области 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форме, установленной Федеральным оператором </w:t>
            </w:r>
            <w:r/>
          </w:p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декабря 2023 года 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Представлена информация об объемах средств, предусмотренных в консолидированном бюджете субъекта РФ, на финансовое обеспечение деятельности по реализации дополнительных общеобразовательных программ на созданных новых местах по направлениям расходов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Новосибирской области 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министерства образования Новосибирской области в адрес Федерального оператора </w:t>
            </w:r>
            <w:r/>
          </w:p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января 2024 года,</w:t>
            </w:r>
            <w:r/>
          </w:p>
          <w:p>
            <w:pPr>
              <w:pStyle w:val="61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далее – ежегодно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Получены заключения в отношении проекта перечня средств обучения и воспитания для создания новых мест от федерального оператора (далее – Перечень)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оператор, ФРЦ </w:t>
            </w:r>
            <w:r/>
          </w:p>
          <w:p>
            <w:pPr>
              <w:pStyle w:val="631"/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Федерального оператора о согласовании перечня средств обучения и воспитания для создания новых мест с приложением заключений от ФРЦ в адрес министерства образования Новосибирской области 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марта 2024 года</w:t>
            </w:r>
            <w:r/>
          </w:p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Объявлены закупки товаров, работ, услуг для создания новых мест в соответствии с согласованным Перечнем 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Новосибирской области 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Извещения о проведении закупок,</w:t>
            </w:r>
            <w:r/>
          </w:p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реестр закупок </w:t>
            </w:r>
            <w:r/>
          </w:p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марта 2024 года 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Заключены контракты (договоры, соглашения) по итогам проведенных закупок 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Министерство  образования Новосибирской области, органы управления образованием муниципальных районов и городских округов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Контракты, договоры, соглашения 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мая 2024 года</w:t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Получены лицензии на ведение образовательной деятельности по программам дополнительного образования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Министерство  образования Новосибирской области, органы управления образованием муниципальных районов и городских округов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Лицензии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июня 2024 года</w:t>
            </w:r>
            <w:r/>
          </w:p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Закуплено, доставлено и налажено оборудование и средства обучения 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образования Новосибирской области 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Товарные накладные, акты приемки работ </w:t>
            </w:r>
            <w:r/>
          </w:p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августа 2024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75" w:type="dxa"/>
            <w:vAlign w:val="center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 подбор кадров и заключены трудовые соглашения (договоры)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</w:t>
            </w:r>
            <w:r>
              <w:rPr>
                <w:rFonts w:eastAsia="Times New Roman"/>
                <w:sz w:val="28"/>
                <w:szCs w:val="28"/>
              </w:rPr>
              <w:t xml:space="preserve">управления образованием муниципальных районов и городских округов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соглашения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августа 2024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75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Проведено повышение квалификации (профмастерства) педагогических работников на создаваемые новые места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Министерство  образования Новосибирской области, 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Удостоверения о повышении квалификации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сентября 2024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75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13*</w:t>
            </w:r>
            <w:r/>
          </w:p>
        </w:tc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 мониторинг эффективности использования закупленного оборудования и средств обучения с использованием системы ЕАИС ДО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оператор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Информационная справка по данным из ЕАИС ДО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1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ноября –</w:t>
              <w:br w:type="textWrapping" w:clear="all"/>
              <w:t xml:space="preserve">15 декабря 2024 года,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6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далее – ежегодно</w:t>
            </w:r>
            <w:r/>
          </w:p>
        </w:tc>
      </w:tr>
    </w:tbl>
    <w:p>
      <w:pPr>
        <w:pStyle w:val="616"/>
        <w:ind w:left="-851"/>
        <w:jc w:val="both"/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pStyle w:val="616"/>
        <w:ind w:right="284"/>
        <w:jc w:val="both"/>
        <w:spacing w:after="0" w:line="276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*Данный пункт мероприятия выполняется Федеральным оператором в целях мониторинга в ЕАИС ДО в разрезе образовательных организаций в части зачисления детей, заполнения дополнительной общеразвивающей программы и направленностей дополнительного образования. </w:t>
      </w:r>
      <w:r>
        <w:rPr>
          <w:rFonts w:ascii="Times New Roman" w:hAnsi="Times New Roman"/>
          <w:b/>
          <w:bCs/>
          <w:sz w:val="27"/>
          <w:szCs w:val="27"/>
        </w:rPr>
      </w:r>
      <w:r/>
    </w:p>
    <w:p>
      <w:pPr>
        <w:pStyle w:val="61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6"/>
        <w:jc w:val="center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______________________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6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Верхний колонтитул"/>
    <w:basedOn w:val="616"/>
    <w:next w:val="620"/>
    <w:link w:val="6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>
    <w:name w:val="Верхний колонтитул Знак"/>
    <w:next w:val="621"/>
    <w:link w:val="6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22">
    <w:name w:val="Сетка таблицы"/>
    <w:basedOn w:val="618"/>
    <w:next w:val="622"/>
    <w:link w:val="616"/>
    <w:uiPriority w:val="59"/>
    <w:pPr>
      <w:spacing w:after="0" w:line="240" w:lineRule="auto"/>
    </w:pPr>
    <w:tblPr/>
  </w:style>
  <w:style w:type="character" w:styleId="623">
    <w:name w:val="Основной текст Знак1"/>
    <w:next w:val="623"/>
    <w:link w:val="616"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624">
    <w:name w:val="Текст выноски"/>
    <w:basedOn w:val="616"/>
    <w:next w:val="624"/>
    <w:link w:val="62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5">
    <w:name w:val="Текст выноски Знак"/>
    <w:next w:val="625"/>
    <w:link w:val="624"/>
    <w:uiPriority w:val="99"/>
    <w:semiHidden/>
    <w:rPr>
      <w:rFonts w:ascii="Segoe UI" w:hAnsi="Segoe UI" w:cs="Segoe UI"/>
      <w:sz w:val="18"/>
      <w:szCs w:val="18"/>
    </w:rPr>
  </w:style>
  <w:style w:type="character" w:styleId="626">
    <w:name w:val="Знак примечания"/>
    <w:next w:val="626"/>
    <w:link w:val="616"/>
    <w:uiPriority w:val="99"/>
    <w:semiHidden/>
    <w:unhideWhenUsed/>
    <w:rPr>
      <w:sz w:val="16"/>
      <w:szCs w:val="16"/>
    </w:rPr>
  </w:style>
  <w:style w:type="paragraph" w:styleId="627">
    <w:name w:val="Текст примечания"/>
    <w:basedOn w:val="616"/>
    <w:next w:val="627"/>
    <w:link w:val="628"/>
    <w:uiPriority w:val="99"/>
    <w:semiHidden/>
    <w:unhideWhenUsed/>
    <w:rPr>
      <w:sz w:val="20"/>
      <w:szCs w:val="20"/>
    </w:rPr>
  </w:style>
  <w:style w:type="character" w:styleId="628">
    <w:name w:val="Текст примечания Знак"/>
    <w:next w:val="628"/>
    <w:link w:val="627"/>
    <w:uiPriority w:val="99"/>
    <w:semiHidden/>
    <w:rPr>
      <w:lang w:eastAsia="en-US"/>
    </w:rPr>
  </w:style>
  <w:style w:type="paragraph" w:styleId="629">
    <w:name w:val="Тема примечания"/>
    <w:basedOn w:val="627"/>
    <w:next w:val="627"/>
    <w:link w:val="630"/>
    <w:uiPriority w:val="99"/>
    <w:semiHidden/>
    <w:unhideWhenUsed/>
    <w:rPr>
      <w:b/>
      <w:bCs/>
    </w:rPr>
  </w:style>
  <w:style w:type="character" w:styleId="630">
    <w:name w:val="Тема примечания Знак"/>
    <w:next w:val="630"/>
    <w:link w:val="629"/>
    <w:uiPriority w:val="99"/>
    <w:semiHidden/>
    <w:rPr>
      <w:b/>
      <w:bCs/>
      <w:lang w:eastAsia="en-US"/>
    </w:rPr>
  </w:style>
  <w:style w:type="paragraph" w:styleId="631">
    <w:name w:val="Default"/>
    <w:next w:val="631"/>
    <w:link w:val="61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"/>
      <w:color w:val="000000"/>
      <w:sz w:val="24"/>
      <w:szCs w:val="24"/>
      <w:lang w:val="ru-RU" w:eastAsia="ru-RU" w:bidi="ar-SA"/>
    </w:rPr>
  </w:style>
  <w:style w:type="character" w:styleId="1522" w:default="1">
    <w:name w:val="Default Paragraph Font"/>
    <w:uiPriority w:val="1"/>
    <w:semiHidden/>
    <w:unhideWhenUsed/>
  </w:style>
  <w:style w:type="numbering" w:styleId="1523" w:default="1">
    <w:name w:val="No List"/>
    <w:uiPriority w:val="99"/>
    <w:semiHidden/>
    <w:unhideWhenUsed/>
  </w:style>
  <w:style w:type="table" w:styleId="15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Поздняева Елена Юрьевна</dc:creator>
  <cp:revision>17</cp:revision>
  <dcterms:created xsi:type="dcterms:W3CDTF">2021-11-23T11:30:00Z</dcterms:created>
  <dcterms:modified xsi:type="dcterms:W3CDTF">2023-11-16T10:55:12Z</dcterms:modified>
  <cp:version>917504</cp:version>
</cp:coreProperties>
</file>