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3B" w:rsidRPr="00270DD2" w:rsidRDefault="004E010E" w:rsidP="00FD2C3B">
      <w:pPr>
        <w:pStyle w:val="2"/>
        <w:spacing w:line="216" w:lineRule="auto"/>
        <w:jc w:val="center"/>
        <w:rPr>
          <w:b/>
          <w:bCs/>
        </w:rPr>
      </w:pPr>
      <w:bookmarkStart w:id="0" w:name="_Toc126996678"/>
      <w:r w:rsidRPr="00270DD2">
        <w:rPr>
          <w:b/>
          <w:bCs/>
        </w:rPr>
        <w:t>МИНИСТЕРСТВО</w:t>
      </w:r>
      <w:r w:rsidR="00FD2C3B" w:rsidRPr="00270DD2">
        <w:rPr>
          <w:b/>
          <w:bCs/>
        </w:rPr>
        <w:t xml:space="preserve"> ЖИЛИЩНО-КОММУНАЛЬНОГО ХОЗЯЙСТВА </w:t>
      </w:r>
      <w:r w:rsidR="00982EE6" w:rsidRPr="00270DD2">
        <w:rPr>
          <w:b/>
          <w:bCs/>
        </w:rPr>
        <w:t xml:space="preserve">И ЭНЕРГЕТИКИ </w:t>
      </w:r>
      <w:r w:rsidR="00FD2C3B" w:rsidRPr="00270DD2">
        <w:rPr>
          <w:b/>
          <w:bCs/>
        </w:rPr>
        <w:t>НОВОСИБИРСКОЙ ОБЛАСТИ</w:t>
      </w:r>
      <w:bookmarkEnd w:id="0"/>
    </w:p>
    <w:p w:rsidR="00FD2C3B" w:rsidRPr="00270DD2" w:rsidRDefault="00FD2C3B" w:rsidP="00FD2C3B">
      <w:pPr>
        <w:spacing w:line="216" w:lineRule="auto"/>
        <w:jc w:val="center"/>
        <w:rPr>
          <w:b/>
          <w:bCs/>
          <w:sz w:val="28"/>
          <w:szCs w:val="28"/>
        </w:rPr>
      </w:pPr>
    </w:p>
    <w:p w:rsidR="00FD2C3B" w:rsidRPr="00270DD2" w:rsidRDefault="00FD2C3B" w:rsidP="00FD2C3B">
      <w:pPr>
        <w:pStyle w:val="1"/>
        <w:autoSpaceDE/>
        <w:autoSpaceDN/>
        <w:spacing w:line="216" w:lineRule="auto"/>
      </w:pPr>
      <w:bookmarkStart w:id="1" w:name="_Toc126996679"/>
      <w:r w:rsidRPr="00270DD2">
        <w:t>ПОЯСНИТЕЛЬНАЯ ЗАПИСКА</w:t>
      </w:r>
      <w:bookmarkEnd w:id="1"/>
    </w:p>
    <w:p w:rsidR="008008F0" w:rsidRPr="00270DD2" w:rsidRDefault="008008F0" w:rsidP="00024CC5">
      <w:pPr>
        <w:rPr>
          <w:b/>
          <w:sz w:val="28"/>
          <w:szCs w:val="28"/>
        </w:rPr>
      </w:pPr>
    </w:p>
    <w:p w:rsidR="00A3122D" w:rsidRPr="00270DD2" w:rsidRDefault="00FD2C3B" w:rsidP="000000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0DD2">
        <w:rPr>
          <w:sz w:val="28"/>
          <w:szCs w:val="28"/>
        </w:rPr>
        <w:t xml:space="preserve">к проекту </w:t>
      </w:r>
      <w:r w:rsidR="00453ED9">
        <w:rPr>
          <w:sz w:val="28"/>
          <w:szCs w:val="28"/>
        </w:rPr>
        <w:t xml:space="preserve">постановления </w:t>
      </w:r>
      <w:r w:rsidR="00AB255B">
        <w:rPr>
          <w:sz w:val="28"/>
          <w:szCs w:val="28"/>
        </w:rPr>
        <w:t>Правительства</w:t>
      </w:r>
      <w:r w:rsidR="00DD6C96" w:rsidRPr="00270DD2">
        <w:rPr>
          <w:sz w:val="28"/>
          <w:szCs w:val="28"/>
        </w:rPr>
        <w:t xml:space="preserve"> </w:t>
      </w:r>
      <w:r w:rsidRPr="00270DD2">
        <w:rPr>
          <w:sz w:val="28"/>
          <w:szCs w:val="28"/>
        </w:rPr>
        <w:t>Новосибирской области</w:t>
      </w:r>
    </w:p>
    <w:p w:rsidR="00A3122D" w:rsidRDefault="001D53B3" w:rsidP="000000B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DA41E5" w:rsidRPr="00DA41E5">
        <w:rPr>
          <w:rFonts w:eastAsia="Calibri"/>
          <w:sz w:val="28"/>
          <w:szCs w:val="28"/>
          <w:lang w:eastAsia="en-US"/>
        </w:rPr>
        <w:t>Об установлении порядка предоставления субсидий из областного бюджета Новосибирской области на возмещение недополученных доходов юридическим лицам (за исключением государственных (муниципальных) учреждений), индивидуальным предпринимателям - производителям товаров, работ, услуг, поставляющим сжиженный газ для обеспечения бытовых нужд населения Новосибирской области</w:t>
      </w:r>
      <w:r>
        <w:rPr>
          <w:rFonts w:eastAsia="Calibri"/>
          <w:sz w:val="28"/>
          <w:szCs w:val="28"/>
          <w:lang w:eastAsia="en-US"/>
        </w:rPr>
        <w:t>»</w:t>
      </w:r>
    </w:p>
    <w:p w:rsidR="008008F0" w:rsidRDefault="008008F0" w:rsidP="00914D94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62C4A" w:rsidRPr="00862C4A" w:rsidRDefault="00862C4A" w:rsidP="00862C4A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862C4A">
        <w:rPr>
          <w:sz w:val="28"/>
          <w:szCs w:val="28"/>
        </w:rPr>
        <w:t>Согласно постановлению администрации Новосибирской области от 09.10.2007 № 125-па на территории Новосибирской области организацией, уполномоченной реализовывать СУГ для бытовых нужд населения, является ООО «Новосибирскоблгаз».</w:t>
      </w:r>
    </w:p>
    <w:p w:rsidR="00862C4A" w:rsidRDefault="00862C4A" w:rsidP="00862C4A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862C4A">
        <w:rPr>
          <w:sz w:val="28"/>
          <w:szCs w:val="28"/>
        </w:rPr>
        <w:t>В соответствии с частью 4 статьи 154, статьей 155 Жилищного кодекса Российской Федерации газоснабжение является возмездной коммунальной услугой, плата за которую включается в состав платы за коммунальные услуги. При этом государственное регулирование розничных цен на сжиженный газ, реализуемый населению для бытовых нужд, осуществляется в соответствии со статьей 21 Федерального закона от 31.03.1999 № 69-ФЗ «О газоснабжении в Российской Федерации».</w:t>
      </w:r>
    </w:p>
    <w:p w:rsidR="00862C4A" w:rsidRPr="00862C4A" w:rsidRDefault="00862C4A" w:rsidP="00862C4A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862C4A">
        <w:rPr>
          <w:sz w:val="28"/>
          <w:szCs w:val="28"/>
        </w:rPr>
        <w:t>ООО «Новосибирскоблгаз» является уполномоченной организацией, осуществляющей снабжение населения сжиженным углеводородным газом на территории Новосибирской области. Выполняя социальные обязательства перед населением и муниципальными учреждениями, на прикрепленном субъекте Российской Федерации, поставка газа осуществляется в 92 897 многоквартирных и частных жилых дома.</w:t>
      </w:r>
      <w:r w:rsidR="00712037">
        <w:rPr>
          <w:sz w:val="28"/>
          <w:szCs w:val="28"/>
        </w:rPr>
        <w:t xml:space="preserve"> </w:t>
      </w:r>
      <w:r w:rsidRPr="00862C4A">
        <w:rPr>
          <w:sz w:val="28"/>
          <w:szCs w:val="28"/>
        </w:rPr>
        <w:t>Государственное регулирование закупочных оптовых цен на сжиженный углеводородный газ (СУГ) с 07.08.2019г. не предусмотрено, однако стоимость СУГ при реализации населению подлежит государственному регулированию и не может превышать установленных Департаментом по тарифам Новосибирской области цен.</w:t>
      </w:r>
      <w:r w:rsidR="00712037">
        <w:rPr>
          <w:sz w:val="28"/>
          <w:szCs w:val="28"/>
        </w:rPr>
        <w:t xml:space="preserve"> </w:t>
      </w:r>
      <w:r w:rsidRPr="00862C4A">
        <w:rPr>
          <w:sz w:val="28"/>
          <w:szCs w:val="28"/>
        </w:rPr>
        <w:t xml:space="preserve">На 2020г. Департаментом была утверждена плановая цена закупа СУГ 17 152,80 руб. за 1 тонну (с НДС) + железнодорожный тариф на доставку (далее ЖД тариф) до газонаполнительной станции 5 288,4 руб. за 1 тонну (с НДС), итого цена составила 22 441,20 руб. за 1 тонну (с НДС).  </w:t>
      </w:r>
    </w:p>
    <w:p w:rsidR="00862C4A" w:rsidRPr="00862C4A" w:rsidRDefault="00862C4A" w:rsidP="00862C4A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862C4A">
        <w:rPr>
          <w:sz w:val="28"/>
          <w:szCs w:val="28"/>
        </w:rPr>
        <w:t xml:space="preserve">По факту, цена закупа газа ООО «Новосибирскоблгаз» по договору поставки (в </w:t>
      </w:r>
      <w:proofErr w:type="spellStart"/>
      <w:r w:rsidRPr="00862C4A">
        <w:rPr>
          <w:sz w:val="28"/>
          <w:szCs w:val="28"/>
        </w:rPr>
        <w:t>т.ч</w:t>
      </w:r>
      <w:proofErr w:type="spellEnd"/>
      <w:r w:rsidRPr="00862C4A">
        <w:rPr>
          <w:sz w:val="28"/>
          <w:szCs w:val="28"/>
        </w:rPr>
        <w:t>. ЖД тариф) составила 30 187,30 руб. за 1 тонну (с НДС) (закупка отторгована в соответствии с действующим законодательством через электронную площадку РТС-</w:t>
      </w:r>
      <w:proofErr w:type="spellStart"/>
      <w:r w:rsidRPr="00862C4A">
        <w:rPr>
          <w:sz w:val="28"/>
          <w:szCs w:val="28"/>
        </w:rPr>
        <w:t>тендр</w:t>
      </w:r>
      <w:proofErr w:type="spellEnd"/>
      <w:r w:rsidRPr="00862C4A">
        <w:rPr>
          <w:sz w:val="28"/>
          <w:szCs w:val="28"/>
        </w:rPr>
        <w:t xml:space="preserve">). </w:t>
      </w:r>
      <w:r w:rsidR="00712037">
        <w:rPr>
          <w:sz w:val="28"/>
          <w:szCs w:val="28"/>
        </w:rPr>
        <w:t xml:space="preserve"> </w:t>
      </w:r>
      <w:r w:rsidRPr="00862C4A">
        <w:rPr>
          <w:sz w:val="28"/>
          <w:szCs w:val="28"/>
        </w:rPr>
        <w:t>Таким образом, ООО «</w:t>
      </w:r>
      <w:proofErr w:type="gramStart"/>
      <w:r w:rsidRPr="00862C4A">
        <w:rPr>
          <w:sz w:val="28"/>
          <w:szCs w:val="28"/>
        </w:rPr>
        <w:t>Новосибирскоблгаз»  за</w:t>
      </w:r>
      <w:proofErr w:type="gramEnd"/>
      <w:r w:rsidRPr="00862C4A">
        <w:rPr>
          <w:sz w:val="28"/>
          <w:szCs w:val="28"/>
        </w:rPr>
        <w:t xml:space="preserve"> 2020г. понесло расходов не заложенных в тариф в размере 27 402 334,08 руб.</w:t>
      </w:r>
    </w:p>
    <w:p w:rsidR="00862C4A" w:rsidRPr="00862C4A" w:rsidRDefault="00862C4A" w:rsidP="00862C4A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862C4A">
        <w:rPr>
          <w:sz w:val="28"/>
          <w:szCs w:val="28"/>
        </w:rPr>
        <w:t xml:space="preserve">При этом, минимальное значение биржевого и внебиржевого индекса цены сжиженного газа на биржевой площадке </w:t>
      </w:r>
      <w:proofErr w:type="spellStart"/>
      <w:r w:rsidRPr="00862C4A">
        <w:rPr>
          <w:sz w:val="28"/>
          <w:szCs w:val="28"/>
        </w:rPr>
        <w:t>СПбМТСБ</w:t>
      </w:r>
      <w:proofErr w:type="spellEnd"/>
      <w:r w:rsidRPr="00862C4A">
        <w:rPr>
          <w:sz w:val="28"/>
          <w:szCs w:val="28"/>
        </w:rPr>
        <w:t xml:space="preserve"> за 2020г. составило 19 735,01 руб. за 1 тонну (с НДС), железнодорожный тариф за доставку сжиженного газа (</w:t>
      </w:r>
      <w:proofErr w:type="spellStart"/>
      <w:r w:rsidRPr="00862C4A">
        <w:rPr>
          <w:sz w:val="28"/>
          <w:szCs w:val="28"/>
        </w:rPr>
        <w:t>г.Сургут-г.Новосибирск</w:t>
      </w:r>
      <w:proofErr w:type="spellEnd"/>
      <w:r w:rsidRPr="00862C4A">
        <w:rPr>
          <w:sz w:val="28"/>
          <w:szCs w:val="28"/>
        </w:rPr>
        <w:t>) за 2020г. составил 6 255 руб. за 1 тонну (с НДС), итого минимальное значение биржевого и внебиржевого индекса цены с ЖД тарифом составило 25 990,01 руб. за 1 тонну (с НДС).</w:t>
      </w:r>
    </w:p>
    <w:p w:rsidR="00862C4A" w:rsidRPr="00862C4A" w:rsidRDefault="00862C4A" w:rsidP="00862C4A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862C4A">
        <w:rPr>
          <w:sz w:val="28"/>
          <w:szCs w:val="28"/>
        </w:rPr>
        <w:lastRenderedPageBreak/>
        <w:t>В соответствии с приказом Департамента по тарифам Новосибирской области № 435-Г от 08.12.2020г. в тариф на 2021 год на сжиженный углеводородный газ, реализуемый населению Новосибирской области для коммунально- бытовых нужд, утверждена плановая цена закупа СУГ (минимальная средне биржевая цена заводов производителей) с учетом ЖД доставки в размере 25416,02 руб. за тонну с НДС.</w:t>
      </w:r>
    </w:p>
    <w:p w:rsidR="00862C4A" w:rsidRPr="00862C4A" w:rsidRDefault="00862C4A" w:rsidP="00862C4A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862C4A">
        <w:rPr>
          <w:sz w:val="28"/>
          <w:szCs w:val="28"/>
        </w:rPr>
        <w:t>Однако, с мая 2020 года оптовые цены на СУГ заводов производителей показывают устойчивый рост, значительно превышающий утвержденный Департаментом по тарифам уровень базовой цены закупа. По состоянию на 19.03.2021г. минимальное значение биржевого и внебиржевого индекса цены с ЖД тарифом составило 41 065 руб. за 1 тонну с НДС.</w:t>
      </w:r>
      <w:r w:rsidR="00712037">
        <w:rPr>
          <w:sz w:val="28"/>
          <w:szCs w:val="28"/>
        </w:rPr>
        <w:t xml:space="preserve"> </w:t>
      </w:r>
      <w:r w:rsidRPr="00862C4A">
        <w:rPr>
          <w:sz w:val="28"/>
          <w:szCs w:val="28"/>
        </w:rPr>
        <w:t>С учетом нестабильной ситуации на биржевом рынке, для газоснабжения населения, ООО «Новосибирскоблгаз» вынуждено закупать газ по завышенной стоимости.</w:t>
      </w:r>
    </w:p>
    <w:p w:rsidR="00862C4A" w:rsidRPr="00862C4A" w:rsidRDefault="00862C4A" w:rsidP="00862C4A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862C4A">
        <w:rPr>
          <w:sz w:val="28"/>
          <w:szCs w:val="28"/>
        </w:rPr>
        <w:t>В связи со значительным и продолжительным ростом оптовых цен на СУГ от заводов производителей, на сегодняшний день сложилась критическая ситуация с поставкой СУГ населению города Новосибирска и Новосибирской области. ООО «Новосибирскоблгаз» не имеет возможности приобретать необходимые объемы газа по столь высокой рыночной цене, так как рыночная стоимость выше, чем реализуется населению по утвержденному тарифу (газ в баллонах без доставки 35950 руб. с НДС за 1 тонну, емкостной газ для многоквартирных домов 39910 руб. с НДС за</w:t>
      </w:r>
      <w:r w:rsidR="00712037">
        <w:rPr>
          <w:sz w:val="28"/>
          <w:szCs w:val="28"/>
        </w:rPr>
        <w:t xml:space="preserve"> </w:t>
      </w:r>
      <w:r w:rsidRPr="00862C4A">
        <w:rPr>
          <w:sz w:val="28"/>
          <w:szCs w:val="28"/>
        </w:rPr>
        <w:t>тонну).</w:t>
      </w:r>
    </w:p>
    <w:p w:rsidR="00862C4A" w:rsidRPr="00862C4A" w:rsidRDefault="00862C4A" w:rsidP="00862C4A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862C4A">
        <w:rPr>
          <w:sz w:val="28"/>
          <w:szCs w:val="28"/>
        </w:rPr>
        <w:t xml:space="preserve">В складывающихся обстоятельствах у ООО «Новосибирскоблгаз» исчерпаны возможности по бесперебойным поставкам </w:t>
      </w:r>
      <w:proofErr w:type="spellStart"/>
      <w:r w:rsidRPr="00862C4A">
        <w:rPr>
          <w:sz w:val="28"/>
          <w:szCs w:val="28"/>
        </w:rPr>
        <w:t>СУГа</w:t>
      </w:r>
      <w:proofErr w:type="spellEnd"/>
      <w:r w:rsidRPr="00862C4A">
        <w:rPr>
          <w:sz w:val="28"/>
          <w:szCs w:val="28"/>
        </w:rPr>
        <w:t xml:space="preserve"> населению через групповые установки. На территории Новосибирской области возникла угроза приостановления снабжения населения сжиженным газом, в том числе жителей, снабжаемых сжиженным газом от резервуарных установок для нужд </w:t>
      </w:r>
      <w:proofErr w:type="spellStart"/>
      <w:r w:rsidRPr="00862C4A">
        <w:rPr>
          <w:sz w:val="28"/>
          <w:szCs w:val="28"/>
        </w:rPr>
        <w:t>пищеприготовления</w:t>
      </w:r>
      <w:proofErr w:type="spellEnd"/>
      <w:r w:rsidRPr="00862C4A">
        <w:rPr>
          <w:sz w:val="28"/>
          <w:szCs w:val="28"/>
        </w:rPr>
        <w:t>. У ООО «Новосибирскоблгаз» отсутствуют запасы сжиженного газа на складах, отсутствуют денежные средства для закупа сжиженного газа для обеспечения бесперебойной поставки газа населению для бытовых нужд, имеется задолженность перед поставщиком сжиженного газа в размере 11 594 614 руб.</w:t>
      </w:r>
      <w:r w:rsidR="00712037">
        <w:rPr>
          <w:sz w:val="28"/>
          <w:szCs w:val="28"/>
        </w:rPr>
        <w:t xml:space="preserve"> </w:t>
      </w:r>
      <w:r w:rsidRPr="00862C4A">
        <w:rPr>
          <w:sz w:val="28"/>
          <w:szCs w:val="28"/>
        </w:rPr>
        <w:t>Возникает вопрос о целесообразности деятельности предприятия по снабжению газом населения. Ситуация усугубляется тем фактом, что</w:t>
      </w:r>
      <w:r w:rsidR="00712037">
        <w:rPr>
          <w:sz w:val="28"/>
          <w:szCs w:val="28"/>
        </w:rPr>
        <w:t>,</w:t>
      </w:r>
      <w:r w:rsidRPr="00862C4A">
        <w:rPr>
          <w:sz w:val="28"/>
          <w:szCs w:val="28"/>
        </w:rPr>
        <w:t xml:space="preserve"> основываясь на действующих методических указаниях по регулированию розничных цен на сжиженный газ не предусмотрен механизм оперативной компенсации понесенных расходов.</w:t>
      </w:r>
    </w:p>
    <w:p w:rsidR="008008F0" w:rsidRDefault="008008F0" w:rsidP="008008F0">
      <w:pPr>
        <w:tabs>
          <w:tab w:val="left" w:pos="6096"/>
        </w:tabs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</w:rPr>
      </w:pPr>
      <w:r w:rsidRPr="00832773">
        <w:rPr>
          <w:sz w:val="28"/>
          <w:szCs w:val="28"/>
        </w:rPr>
        <w:t>Проект подлежит оценке регулирующего воздействия, поскольку устанавливает новые обязанности для субъектов предпринимательской и инвестиционной деятельности</w:t>
      </w:r>
      <w:r w:rsidR="009A34BD">
        <w:rPr>
          <w:sz w:val="28"/>
          <w:szCs w:val="28"/>
        </w:rPr>
        <w:t>.</w:t>
      </w:r>
    </w:p>
    <w:p w:rsidR="009A34BD" w:rsidRDefault="009A34BD" w:rsidP="008008F0">
      <w:pPr>
        <w:tabs>
          <w:tab w:val="left" w:pos="6096"/>
        </w:tabs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подлежит согласованию с:</w:t>
      </w:r>
    </w:p>
    <w:p w:rsidR="009A34BD" w:rsidRDefault="009A34BD" w:rsidP="008008F0">
      <w:pPr>
        <w:tabs>
          <w:tab w:val="left" w:pos="6096"/>
        </w:tabs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экономического развития НСО;</w:t>
      </w:r>
    </w:p>
    <w:p w:rsidR="009A34BD" w:rsidRDefault="009A34BD" w:rsidP="008008F0">
      <w:pPr>
        <w:tabs>
          <w:tab w:val="left" w:pos="6096"/>
        </w:tabs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финансов и НП НСО;</w:t>
      </w:r>
    </w:p>
    <w:p w:rsidR="009A34BD" w:rsidRDefault="009A34BD" w:rsidP="008008F0">
      <w:pPr>
        <w:tabs>
          <w:tab w:val="left" w:pos="6096"/>
        </w:tabs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Департаментом по тарифам НСО.</w:t>
      </w:r>
    </w:p>
    <w:p w:rsidR="00B373B3" w:rsidRDefault="00B373B3" w:rsidP="00E822DC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0" w:type="dxa"/>
        <w:tblInd w:w="244" w:type="dxa"/>
        <w:tblLayout w:type="fixed"/>
        <w:tblLook w:val="04A0" w:firstRow="1" w:lastRow="0" w:firstColumn="1" w:lastColumn="0" w:noHBand="0" w:noVBand="1"/>
      </w:tblPr>
      <w:tblGrid>
        <w:gridCol w:w="4967"/>
        <w:gridCol w:w="2268"/>
        <w:gridCol w:w="2484"/>
      </w:tblGrid>
      <w:tr w:rsidR="00B373B3" w:rsidTr="00096157">
        <w:trPr>
          <w:trHeight w:val="430"/>
        </w:trPr>
        <w:tc>
          <w:tcPr>
            <w:tcW w:w="4967" w:type="dxa"/>
            <w:hideMark/>
          </w:tcPr>
          <w:p w:rsidR="00B373B3" w:rsidRDefault="00B373B3" w:rsidP="00096157">
            <w:pPr>
              <w:tabs>
                <w:tab w:val="left" w:pos="1240"/>
              </w:tabs>
              <w:adjustRightInd w:val="0"/>
              <w:spacing w:line="276" w:lineRule="auto"/>
              <w:outlineLvl w:val="0"/>
              <w:rPr>
                <w:color w:val="000000"/>
                <w:sz w:val="28"/>
                <w:szCs w:val="28"/>
              </w:rPr>
            </w:pPr>
            <w:bookmarkStart w:id="2" w:name="_GoBack"/>
            <w:r>
              <w:rPr>
                <w:color w:val="000000"/>
                <w:sz w:val="28"/>
                <w:szCs w:val="28"/>
              </w:rPr>
              <w:t xml:space="preserve">Министр жилищно‒коммунального хозяйства и энергетики Новосибирской области </w:t>
            </w:r>
          </w:p>
        </w:tc>
        <w:tc>
          <w:tcPr>
            <w:tcW w:w="2268" w:type="dxa"/>
          </w:tcPr>
          <w:p w:rsidR="00B373B3" w:rsidRDefault="00B373B3" w:rsidP="000961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84" w:type="dxa"/>
          </w:tcPr>
          <w:p w:rsidR="00B373B3" w:rsidRDefault="00B373B3" w:rsidP="00096157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B373B3" w:rsidRDefault="00B373B3" w:rsidP="00096157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Д.Н. Архипов</w:t>
            </w:r>
          </w:p>
        </w:tc>
      </w:tr>
      <w:bookmarkEnd w:id="2"/>
    </w:tbl>
    <w:p w:rsidR="009A34BD" w:rsidRDefault="009A34BD" w:rsidP="00151BFD">
      <w:pPr>
        <w:autoSpaceDE w:val="0"/>
        <w:autoSpaceDN w:val="0"/>
        <w:rPr>
          <w:sz w:val="18"/>
          <w:szCs w:val="18"/>
        </w:rPr>
      </w:pPr>
    </w:p>
    <w:p w:rsidR="008568F0" w:rsidRDefault="003D7F63" w:rsidP="00151BFD">
      <w:pPr>
        <w:autoSpaceDE w:val="0"/>
        <w:autoSpaceDN w:val="0"/>
        <w:rPr>
          <w:sz w:val="18"/>
          <w:szCs w:val="18"/>
        </w:rPr>
      </w:pPr>
      <w:r>
        <w:rPr>
          <w:sz w:val="18"/>
          <w:szCs w:val="18"/>
        </w:rPr>
        <w:t>В.В. Болдырева</w:t>
      </w:r>
    </w:p>
    <w:p w:rsidR="003D7F63" w:rsidRDefault="003D7F63" w:rsidP="00151BFD">
      <w:pPr>
        <w:autoSpaceDE w:val="0"/>
        <w:autoSpaceDN w:val="0"/>
        <w:rPr>
          <w:sz w:val="28"/>
          <w:szCs w:val="28"/>
        </w:rPr>
      </w:pPr>
      <w:r>
        <w:rPr>
          <w:sz w:val="18"/>
          <w:szCs w:val="18"/>
        </w:rPr>
        <w:t>238 76 28</w:t>
      </w:r>
    </w:p>
    <w:sectPr w:rsidR="003D7F63" w:rsidSect="00255654">
      <w:pgSz w:w="11906" w:h="16838"/>
      <w:pgMar w:top="1247" w:right="56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80"/>
    <w:rsid w:val="000000BF"/>
    <w:rsid w:val="000170F4"/>
    <w:rsid w:val="00024CC5"/>
    <w:rsid w:val="000301D5"/>
    <w:rsid w:val="00033CAB"/>
    <w:rsid w:val="00042CEF"/>
    <w:rsid w:val="00043BB4"/>
    <w:rsid w:val="000564E2"/>
    <w:rsid w:val="00062B80"/>
    <w:rsid w:val="00076D31"/>
    <w:rsid w:val="00086C84"/>
    <w:rsid w:val="00090ECC"/>
    <w:rsid w:val="000A1431"/>
    <w:rsid w:val="000A39C9"/>
    <w:rsid w:val="000A5FF0"/>
    <w:rsid w:val="000C26AF"/>
    <w:rsid w:val="001034AE"/>
    <w:rsid w:val="00105453"/>
    <w:rsid w:val="00107A0B"/>
    <w:rsid w:val="00111EA0"/>
    <w:rsid w:val="00151BFD"/>
    <w:rsid w:val="00180D71"/>
    <w:rsid w:val="001A1F5D"/>
    <w:rsid w:val="001D1C57"/>
    <w:rsid w:val="001D53B3"/>
    <w:rsid w:val="001E7321"/>
    <w:rsid w:val="001F2A64"/>
    <w:rsid w:val="0021126C"/>
    <w:rsid w:val="00211BE3"/>
    <w:rsid w:val="00222D9B"/>
    <w:rsid w:val="00224516"/>
    <w:rsid w:val="002410C2"/>
    <w:rsid w:val="00255654"/>
    <w:rsid w:val="002672CE"/>
    <w:rsid w:val="00270DD2"/>
    <w:rsid w:val="002903F5"/>
    <w:rsid w:val="002A5ACA"/>
    <w:rsid w:val="002B6DFF"/>
    <w:rsid w:val="002D5E19"/>
    <w:rsid w:val="002F030A"/>
    <w:rsid w:val="00307148"/>
    <w:rsid w:val="00314001"/>
    <w:rsid w:val="00324E89"/>
    <w:rsid w:val="00337972"/>
    <w:rsid w:val="00353880"/>
    <w:rsid w:val="00372A51"/>
    <w:rsid w:val="003817D8"/>
    <w:rsid w:val="003A6D5D"/>
    <w:rsid w:val="003B12AE"/>
    <w:rsid w:val="003D3973"/>
    <w:rsid w:val="003D7F63"/>
    <w:rsid w:val="003E3C71"/>
    <w:rsid w:val="003E6838"/>
    <w:rsid w:val="003F36DF"/>
    <w:rsid w:val="00453ED9"/>
    <w:rsid w:val="00460516"/>
    <w:rsid w:val="004617CC"/>
    <w:rsid w:val="00490647"/>
    <w:rsid w:val="00490F62"/>
    <w:rsid w:val="004944FB"/>
    <w:rsid w:val="004B07B4"/>
    <w:rsid w:val="004C307B"/>
    <w:rsid w:val="004C3ADE"/>
    <w:rsid w:val="004C5DB0"/>
    <w:rsid w:val="004D06C8"/>
    <w:rsid w:val="004D58DA"/>
    <w:rsid w:val="004E010E"/>
    <w:rsid w:val="004E0B67"/>
    <w:rsid w:val="00543374"/>
    <w:rsid w:val="00545E94"/>
    <w:rsid w:val="0054782D"/>
    <w:rsid w:val="00552177"/>
    <w:rsid w:val="005558F7"/>
    <w:rsid w:val="00580166"/>
    <w:rsid w:val="00580E58"/>
    <w:rsid w:val="005940B0"/>
    <w:rsid w:val="005F5674"/>
    <w:rsid w:val="005F6BBC"/>
    <w:rsid w:val="00603E94"/>
    <w:rsid w:val="006278DB"/>
    <w:rsid w:val="00655F8B"/>
    <w:rsid w:val="00660BA4"/>
    <w:rsid w:val="006A3F0D"/>
    <w:rsid w:val="006B3794"/>
    <w:rsid w:val="006B73BE"/>
    <w:rsid w:val="006C5B25"/>
    <w:rsid w:val="006E50CC"/>
    <w:rsid w:val="006F603F"/>
    <w:rsid w:val="0070514E"/>
    <w:rsid w:val="00712037"/>
    <w:rsid w:val="007528C6"/>
    <w:rsid w:val="00754680"/>
    <w:rsid w:val="00755010"/>
    <w:rsid w:val="007662A7"/>
    <w:rsid w:val="007768EB"/>
    <w:rsid w:val="00781713"/>
    <w:rsid w:val="00786C3C"/>
    <w:rsid w:val="007946FB"/>
    <w:rsid w:val="007B22F6"/>
    <w:rsid w:val="007B7B0E"/>
    <w:rsid w:val="007E14E5"/>
    <w:rsid w:val="007F0621"/>
    <w:rsid w:val="008008F0"/>
    <w:rsid w:val="00804BBC"/>
    <w:rsid w:val="00821876"/>
    <w:rsid w:val="00834445"/>
    <w:rsid w:val="008365D0"/>
    <w:rsid w:val="008463EE"/>
    <w:rsid w:val="00846BA5"/>
    <w:rsid w:val="008568F0"/>
    <w:rsid w:val="00862C4A"/>
    <w:rsid w:val="008632E3"/>
    <w:rsid w:val="008659FD"/>
    <w:rsid w:val="008700C0"/>
    <w:rsid w:val="008777A9"/>
    <w:rsid w:val="008C297C"/>
    <w:rsid w:val="008C464A"/>
    <w:rsid w:val="008D73DB"/>
    <w:rsid w:val="008F5F00"/>
    <w:rsid w:val="00914473"/>
    <w:rsid w:val="00914D94"/>
    <w:rsid w:val="0091786E"/>
    <w:rsid w:val="009259CB"/>
    <w:rsid w:val="00940F15"/>
    <w:rsid w:val="009521A3"/>
    <w:rsid w:val="00961DA9"/>
    <w:rsid w:val="009712C4"/>
    <w:rsid w:val="00982EE6"/>
    <w:rsid w:val="00984A77"/>
    <w:rsid w:val="00993085"/>
    <w:rsid w:val="009A1E41"/>
    <w:rsid w:val="009A3496"/>
    <w:rsid w:val="009A34BD"/>
    <w:rsid w:val="009C1488"/>
    <w:rsid w:val="009D1D35"/>
    <w:rsid w:val="009D31F6"/>
    <w:rsid w:val="00A00BE8"/>
    <w:rsid w:val="00A3122D"/>
    <w:rsid w:val="00A35459"/>
    <w:rsid w:val="00A50C5B"/>
    <w:rsid w:val="00A51993"/>
    <w:rsid w:val="00A523E4"/>
    <w:rsid w:val="00A6652A"/>
    <w:rsid w:val="00A66887"/>
    <w:rsid w:val="00A90A46"/>
    <w:rsid w:val="00AB255B"/>
    <w:rsid w:val="00AD2F97"/>
    <w:rsid w:val="00AE3AAE"/>
    <w:rsid w:val="00AF7CF5"/>
    <w:rsid w:val="00B0532E"/>
    <w:rsid w:val="00B106FB"/>
    <w:rsid w:val="00B373B3"/>
    <w:rsid w:val="00B601DF"/>
    <w:rsid w:val="00B91787"/>
    <w:rsid w:val="00BB22FE"/>
    <w:rsid w:val="00BB6B48"/>
    <w:rsid w:val="00C148D4"/>
    <w:rsid w:val="00C16963"/>
    <w:rsid w:val="00C32285"/>
    <w:rsid w:val="00C4410F"/>
    <w:rsid w:val="00C60D2B"/>
    <w:rsid w:val="00C71A08"/>
    <w:rsid w:val="00C83FCE"/>
    <w:rsid w:val="00CA2D28"/>
    <w:rsid w:val="00D35809"/>
    <w:rsid w:val="00D92CA3"/>
    <w:rsid w:val="00DA41E5"/>
    <w:rsid w:val="00DA6A58"/>
    <w:rsid w:val="00DD6C96"/>
    <w:rsid w:val="00DF0DC1"/>
    <w:rsid w:val="00E03991"/>
    <w:rsid w:val="00E20C19"/>
    <w:rsid w:val="00E22C02"/>
    <w:rsid w:val="00E27DCA"/>
    <w:rsid w:val="00E55F7E"/>
    <w:rsid w:val="00E64B4E"/>
    <w:rsid w:val="00E75B5B"/>
    <w:rsid w:val="00E801F9"/>
    <w:rsid w:val="00E822DC"/>
    <w:rsid w:val="00E93348"/>
    <w:rsid w:val="00EA1CE4"/>
    <w:rsid w:val="00EB2424"/>
    <w:rsid w:val="00EC7C2A"/>
    <w:rsid w:val="00F024CF"/>
    <w:rsid w:val="00F10513"/>
    <w:rsid w:val="00F26312"/>
    <w:rsid w:val="00F330DD"/>
    <w:rsid w:val="00F36F35"/>
    <w:rsid w:val="00F50147"/>
    <w:rsid w:val="00F55B60"/>
    <w:rsid w:val="00F5671B"/>
    <w:rsid w:val="00F83120"/>
    <w:rsid w:val="00F84392"/>
    <w:rsid w:val="00F86257"/>
    <w:rsid w:val="00FA6AE2"/>
    <w:rsid w:val="00FD2C3B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665F6-7C46-4502-926E-21D7E1AE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4A77"/>
    <w:pPr>
      <w:jc w:val="both"/>
    </w:pPr>
    <w:rPr>
      <w:sz w:val="28"/>
    </w:rPr>
  </w:style>
  <w:style w:type="paragraph" w:styleId="a5">
    <w:name w:val="Body Text Indent"/>
    <w:basedOn w:val="a"/>
    <w:rsid w:val="008777A9"/>
    <w:pPr>
      <w:spacing w:after="120"/>
      <w:ind w:left="283"/>
    </w:pPr>
  </w:style>
  <w:style w:type="paragraph" w:customStyle="1" w:styleId="1">
    <w:name w:val="заголовок 1"/>
    <w:basedOn w:val="a"/>
    <w:next w:val="a"/>
    <w:rsid w:val="00FD2C3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rsid w:val="00FD2C3B"/>
    <w:pPr>
      <w:keepNext/>
      <w:outlineLvl w:val="1"/>
    </w:pPr>
    <w:rPr>
      <w:sz w:val="28"/>
      <w:szCs w:val="28"/>
    </w:rPr>
  </w:style>
  <w:style w:type="paragraph" w:styleId="a6">
    <w:name w:val="Balloon Text"/>
    <w:basedOn w:val="a"/>
    <w:semiHidden/>
    <w:rsid w:val="00086C84"/>
    <w:rPr>
      <w:rFonts w:ascii="Tahoma" w:hAnsi="Tahoma" w:cs="Tahoma"/>
      <w:sz w:val="16"/>
      <w:szCs w:val="16"/>
    </w:rPr>
  </w:style>
  <w:style w:type="character" w:styleId="a7">
    <w:name w:val="Hyperlink"/>
    <w:rsid w:val="00490F62"/>
    <w:rPr>
      <w:color w:val="000000"/>
      <w:u w:val="single"/>
    </w:rPr>
  </w:style>
  <w:style w:type="paragraph" w:styleId="a8">
    <w:name w:val="Plain Text"/>
    <w:basedOn w:val="a"/>
    <w:link w:val="a9"/>
    <w:uiPriority w:val="99"/>
    <w:unhideWhenUsed/>
    <w:rsid w:val="00033CAB"/>
    <w:rPr>
      <w:rFonts w:ascii="Calibri" w:eastAsia="Calibri" w:hAnsi="Calibri"/>
      <w:sz w:val="22"/>
      <w:szCs w:val="21"/>
      <w:lang w:val="x-none" w:eastAsia="en-US"/>
    </w:rPr>
  </w:style>
  <w:style w:type="character" w:customStyle="1" w:styleId="a9">
    <w:name w:val="Текст Знак"/>
    <w:link w:val="a8"/>
    <w:uiPriority w:val="99"/>
    <w:rsid w:val="00033CAB"/>
    <w:rPr>
      <w:rFonts w:ascii="Calibri" w:eastAsia="Calibri" w:hAnsi="Calibri"/>
      <w:sz w:val="22"/>
      <w:szCs w:val="21"/>
      <w:lang w:eastAsia="en-US"/>
    </w:rPr>
  </w:style>
  <w:style w:type="character" w:customStyle="1" w:styleId="a4">
    <w:name w:val="Основной текст Знак"/>
    <w:link w:val="a3"/>
    <w:rsid w:val="004D06C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5669</CharactersWithSpaces>
  <SharedDoc>false</SharedDoc>
  <HLinks>
    <vt:vector size="18" baseType="variant">
      <vt:variant>
        <vt:i4>2359393</vt:i4>
      </vt:variant>
      <vt:variant>
        <vt:i4>6</vt:i4>
      </vt:variant>
      <vt:variant>
        <vt:i4>0</vt:i4>
      </vt:variant>
      <vt:variant>
        <vt:i4>5</vt:i4>
      </vt:variant>
      <vt:variant>
        <vt:lpwstr>http://mjkh.nso.ru/page/27</vt:lpwstr>
      </vt:variant>
      <vt:variant>
        <vt:lpwstr/>
      </vt:variant>
      <vt:variant>
        <vt:i4>2621493</vt:i4>
      </vt:variant>
      <vt:variant>
        <vt:i4>3</vt:i4>
      </vt:variant>
      <vt:variant>
        <vt:i4>0</vt:i4>
      </vt:variant>
      <vt:variant>
        <vt:i4>5</vt:i4>
      </vt:variant>
      <vt:variant>
        <vt:lpwstr>http://dem.nso.ru/lawandanticorruption/ef3dc2d0-7eb3-42a1-ba34-a5579ff8a423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consultantplus://offline/ref=A38A5DCC3D14E806ED26B62AFBF5DD92182978C3D9A82B960325E8EEB69BC42BE2E5110819F8B52B2BCF57JE2BH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Болдырева Валентина Владимировна</cp:lastModifiedBy>
  <cp:revision>72</cp:revision>
  <cp:lastPrinted>2021-07-19T02:27:00Z</cp:lastPrinted>
  <dcterms:created xsi:type="dcterms:W3CDTF">2019-06-26T09:26:00Z</dcterms:created>
  <dcterms:modified xsi:type="dcterms:W3CDTF">2021-08-19T03:40:00Z</dcterms:modified>
</cp:coreProperties>
</file>