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132"/>
        <w:rPr>
          <w:szCs w:val="28"/>
        </w:rPr>
      </w:pPr>
      <w:r>
        <w:rPr>
          <w:szCs w:val="28"/>
        </w:rPr>
        <w:t xml:space="preserve">МИНИСТЕРСТВО НАУКИ И ИННОВАЦИОННОЙ ПОЛИТИКИ 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center"/>
        <w:keepNext/>
        <w:spacing w:after="0" w:line="240" w:lineRule="auto"/>
        <w:rPr>
          <w:rFonts w:ascii="Times New Roman" w:hAnsi="Times New Roman" w:eastAsia="Times New Roman"/>
          <w:cap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/>
          <w:caps/>
          <w:sz w:val="28"/>
          <w:szCs w:val="28"/>
          <w:lang w:eastAsia="ru-RU"/>
        </w:rPr>
      </w:r>
    </w:p>
    <w:p>
      <w:pPr>
        <w:pStyle w:val="870"/>
        <w:jc w:val="center"/>
        <w:keepNext/>
        <w:spacing w:after="0" w:line="240" w:lineRule="auto"/>
        <w:rPr>
          <w:rFonts w:ascii="Times New Roman" w:hAnsi="Times New Roman" w:eastAsia="Times New Roman"/>
          <w:cap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/>
          <w:caps/>
          <w:sz w:val="28"/>
          <w:szCs w:val="28"/>
          <w:lang w:eastAsia="ru-RU"/>
        </w:rPr>
      </w:r>
    </w:p>
    <w:p>
      <w:pPr>
        <w:pStyle w:val="870"/>
        <w:jc w:val="center"/>
        <w:keepNext/>
        <w:spacing w:after="0" w:line="240" w:lineRule="auto"/>
        <w:rPr>
          <w:rFonts w:ascii="Times New Roman" w:hAnsi="Times New Roman" w:eastAsia="Times New Roman"/>
          <w:cap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aps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/>
          <w:caps/>
          <w:sz w:val="28"/>
          <w:szCs w:val="28"/>
          <w:lang w:eastAsia="ru-RU"/>
        </w:rPr>
      </w:r>
    </w:p>
    <w:p>
      <w:pPr>
        <w:pStyle w:val="870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ния Правительства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0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 внесении изменений в постановление Правительства Новосибирской области от 15.06.2022 № 274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-п»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2"/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</w:r>
      <w:r>
        <w:rPr>
          <w:szCs w:val="28"/>
          <w:lang w:eastAsia="ar-SA"/>
        </w:rPr>
      </w:r>
      <w:r>
        <w:rPr>
          <w:szCs w:val="28"/>
          <w:lang w:eastAsia="ar-SA"/>
        </w:rPr>
      </w:r>
    </w:p>
    <w:p>
      <w:pPr>
        <w:pStyle w:val="882"/>
        <w:ind w:firstLine="709"/>
        <w:jc w:val="both"/>
        <w:rPr>
          <w:highlight w:val="none"/>
          <w:lang w:eastAsia="ar-SA"/>
        </w:rPr>
      </w:pPr>
      <w:r>
        <w:rPr>
          <w:szCs w:val="28"/>
          <w:lang w:eastAsia="ar-SA"/>
        </w:rPr>
        <w:t xml:space="preserve">Проект</w:t>
      </w:r>
      <w:r>
        <w:rPr>
          <w:szCs w:val="28"/>
          <w:lang w:eastAsia="ar-SA"/>
        </w:rPr>
        <w:t xml:space="preserve"> постановле</w:t>
      </w:r>
      <w:r>
        <w:rPr>
          <w:szCs w:val="28"/>
          <w:lang w:eastAsia="ar-SA"/>
        </w:rPr>
        <w:t xml:space="preserve">ния Правительства Новосибирской области</w:t>
      </w:r>
      <w:r>
        <w:rPr>
          <w:szCs w:val="28"/>
          <w:lang w:eastAsia="ar-SA"/>
        </w:rPr>
        <w:t xml:space="preserve"> </w:t>
      </w:r>
      <w:r>
        <w:rPr>
          <w:szCs w:val="28"/>
        </w:rPr>
        <w:t xml:space="preserve">«О внесении изменений в постановление Правительства Новосибирской области от 15.06.2022 № 27</w:t>
      </w:r>
      <w:r>
        <w:rPr>
          <w:szCs w:val="28"/>
        </w:rPr>
        <w:t xml:space="preserve">4</w:t>
      </w:r>
      <w:r>
        <w:rPr>
          <w:szCs w:val="28"/>
        </w:rPr>
        <w:t xml:space="preserve">-п»</w:t>
      </w:r>
      <w:r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(далее – проект постановления) </w:t>
      </w:r>
      <w:r>
        <w:rPr>
          <w:szCs w:val="28"/>
          <w:lang w:eastAsia="ar-SA"/>
        </w:rPr>
        <w:t xml:space="preserve">разработан </w:t>
      </w:r>
      <w:r>
        <w:rPr>
          <w:szCs w:val="28"/>
        </w:rPr>
        <w:t xml:space="preserve">в соответствии с пунктом 15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остановлени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Правительства Новосибирской области от 08.12.2014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№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475-п</w:t>
      </w:r>
      <w:r>
        <w:rPr>
          <w:szCs w:val="28"/>
        </w:rPr>
        <w:t xml:space="preserve"> «О</w:t>
      </w:r>
      <w:r>
        <w:rPr>
          <w:szCs w:val="28"/>
        </w:rPr>
        <w:t xml:space="preserve">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</w:t>
      </w:r>
      <w:r>
        <w:rPr>
          <w:szCs w:val="28"/>
        </w:rPr>
        <w:t xml:space="preserve">о</w:t>
      </w:r>
      <w:r>
        <w:rPr>
          <w:szCs w:val="28"/>
        </w:rPr>
        <w:t xml:space="preserve">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а также о порядке возврата предоставленных бюджетных инвестиций юридичес</w:t>
      </w:r>
      <w:r>
        <w:rPr>
          <w:szCs w:val="28"/>
        </w:rPr>
        <w:t xml:space="preserve">к</w:t>
      </w:r>
      <w:r>
        <w:rPr>
          <w:szCs w:val="28"/>
        </w:rPr>
        <w:t xml:space="preserve">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</w:t>
      </w:r>
      <w:r>
        <w:rPr>
          <w:szCs w:val="28"/>
        </w:rPr>
        <w:t xml:space="preserve"> объектов недвижимого имущества за счет средств областного бюджета Новосибирской области»</w:t>
      </w:r>
      <w:r>
        <w:rPr>
          <w:szCs w:val="28"/>
        </w:rPr>
        <w:t xml:space="preserve">, </w:t>
      </w:r>
      <w:r>
        <w:rPr>
          <w:szCs w:val="28"/>
        </w:rPr>
        <w:t xml:space="preserve">Законом Новосибирской области от 21.12.2023 № 413-ОЗ «</w:t>
      </w:r>
      <w:r>
        <w:rPr>
          <w:szCs w:val="28"/>
        </w:rPr>
        <w:t xml:space="preserve">Об областном бюджете Новосибирской области на 2024 год и плановый период 2025 и 2026 годов</w:t>
      </w:r>
      <w:r>
        <w:rPr>
          <w:szCs w:val="28"/>
        </w:rPr>
        <w:t xml:space="preserve">», </w:t>
      </w:r>
      <w:r>
        <w:rPr>
          <w:szCs w:val="28"/>
        </w:rPr>
        <w:t xml:space="preserve">а также </w:t>
      </w:r>
      <w:r>
        <w:rPr>
          <w:szCs w:val="28"/>
        </w:rPr>
        <w:t xml:space="preserve">на основании пис</w:t>
      </w:r>
      <w:r>
        <w:rPr>
          <w:szCs w:val="28"/>
        </w:rPr>
        <w:t xml:space="preserve">ьма АО «Академпарк» </w:t>
      </w:r>
      <w:r>
        <w:rPr>
          <w:szCs w:val="28"/>
        </w:rPr>
        <w:t xml:space="preserve">от</w:t>
      </w:r>
      <w:r>
        <w:rPr>
          <w:szCs w:val="28"/>
        </w:rPr>
        <w:t xml:space="preserve"> </w:t>
      </w:r>
      <w:r>
        <w:rPr>
          <w:szCs w:val="28"/>
          <w:highlight w:val="none"/>
        </w:rPr>
        <w:t xml:space="preserve">1</w:t>
      </w:r>
      <w:r>
        <w:rPr>
          <w:szCs w:val="28"/>
          <w:highlight w:val="none"/>
        </w:rPr>
        <w:t xml:space="preserve">6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  <w:t xml:space="preserve">0</w:t>
      </w:r>
      <w:r>
        <w:rPr>
          <w:szCs w:val="28"/>
          <w:highlight w:val="none"/>
        </w:rPr>
        <w:t xml:space="preserve">7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  <w:t xml:space="preserve">2024</w:t>
      </w:r>
      <w:r>
        <w:rPr>
          <w:szCs w:val="28"/>
          <w:highlight w:val="none"/>
        </w:rPr>
        <w:t xml:space="preserve"> №</w:t>
      </w:r>
      <w:r>
        <w:rPr>
          <w:szCs w:val="28"/>
          <w:highlight w:val="none"/>
        </w:rPr>
        <w:t xml:space="preserve"> 774/11-0</w:t>
      </w:r>
      <w:r>
        <w:rPr>
          <w:szCs w:val="28"/>
          <w:highlight w:val="none"/>
        </w:rPr>
        <w:t xml:space="preserve">1</w:t>
      </w:r>
      <w:r>
        <w:rPr>
          <w:szCs w:val="28"/>
          <w:lang w:eastAsia="ar-SA"/>
        </w:rPr>
        <w:t xml:space="preserve"> в связи</w:t>
      </w:r>
      <w:r>
        <w:rPr>
          <w:szCs w:val="28"/>
          <w:lang w:eastAsia="ar-SA"/>
        </w:rPr>
        <w:t xml:space="preserve">:</w:t>
      </w:r>
      <w:r>
        <w:rPr>
          <w:highlight w:val="none"/>
          <w:lang w:eastAsia="ar-SA"/>
        </w:rPr>
      </w:r>
      <w:r>
        <w:rPr>
          <w:highlight w:val="none"/>
          <w:lang w:eastAsia="ar-SA"/>
        </w:rPr>
      </w:r>
    </w:p>
    <w:p>
      <w:pPr>
        <w:pStyle w:val="882"/>
        <w:ind w:firstLine="709"/>
        <w:jc w:val="both"/>
        <w:rPr>
          <w:lang w:eastAsia="ar-SA"/>
        </w:rPr>
      </w:pPr>
      <w:r>
        <w:rPr>
          <w:highlight w:val="none"/>
          <w:lang w:eastAsia="ar-SA"/>
        </w:rPr>
        <w:t xml:space="preserve">1) с увеличением предоставляемого объема бюджетных инвестиций на реализацию проекта развития </w:t>
      </w:r>
      <w:r>
        <w:rPr>
          <w:szCs w:val="28"/>
        </w:rPr>
        <w:t xml:space="preserve">инфраструктуры научно-технологического парка Новосибирского Академгородка на площадке</w:t>
      </w:r>
      <w:r>
        <w:rPr>
          <w:szCs w:val="28"/>
        </w:rPr>
        <w:t xml:space="preserve"> </w:t>
      </w:r>
      <w:r>
        <w:rPr>
          <w:szCs w:val="28"/>
        </w:rPr>
        <w:t xml:space="preserve">по улице Инженерной в Советском районе города Новосибирска</w:t>
      </w:r>
      <w:r>
        <w:rPr>
          <w:szCs w:val="28"/>
        </w:rPr>
        <w:t xml:space="preserve"> (далее – объекты инфраструктуры);</w:t>
      </w:r>
      <w:r>
        <w:rPr>
          <w:lang w:eastAsia="ar-SA"/>
        </w:rPr>
      </w:r>
      <w:r>
        <w:rPr>
          <w:lang w:eastAsia="ar-SA"/>
        </w:rPr>
      </w:r>
    </w:p>
    <w:p>
      <w:pPr>
        <w:pStyle w:val="882"/>
        <w:ind w:firstLine="709"/>
        <w:jc w:val="both"/>
        <w:rPr>
          <w:highlight w:val="none"/>
        </w:rPr>
      </w:pPr>
      <w:r>
        <w:rPr>
          <w:szCs w:val="28"/>
          <w:lang w:eastAsia="ar-SA"/>
        </w:rPr>
        <w:t xml:space="preserve">2) </w:t>
      </w:r>
      <w:r>
        <w:rPr>
          <w:szCs w:val="28"/>
          <w:lang w:eastAsia="ar-SA"/>
        </w:rPr>
        <w:t xml:space="preserve">с</w:t>
      </w:r>
      <w:r>
        <w:rPr>
          <w:szCs w:val="28"/>
          <w:lang w:eastAsia="ar-SA"/>
        </w:rPr>
        <w:t xml:space="preserve"> </w:t>
      </w:r>
      <w:r>
        <w:rPr>
          <w:szCs w:val="28"/>
        </w:rPr>
        <w:t xml:space="preserve">уточнением </w:t>
      </w:r>
      <w:r>
        <w:t xml:space="preserve">ориентировочной </w:t>
      </w:r>
      <w:r/>
      <w:r>
        <w:rPr>
          <w:szCs w:val="28"/>
        </w:rPr>
      </w:r>
      <w:r>
        <w:rPr>
          <w:szCs w:val="28"/>
        </w:rPr>
        <w:t xml:space="preserve">сметной стоимости </w:t>
      </w:r>
      <w:r>
        <w:rPr>
          <w:szCs w:val="28"/>
        </w:rPr>
        <w:t xml:space="preserve">строительства </w:t>
      </w:r>
      <w:r>
        <w:rPr>
          <w:szCs w:val="28"/>
        </w:rPr>
        <w:t xml:space="preserve">объектов инфраструктур</w:t>
      </w:r>
      <w:r>
        <w:rPr>
          <w:szCs w:val="28"/>
          <w:highlight w:val="none"/>
        </w:rPr>
        <w:t xml:space="preserve">ы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882"/>
        <w:ind w:firstLine="709"/>
        <w:jc w:val="both"/>
        <w:outlineLvl w:val="0"/>
      </w:pPr>
      <w:r>
        <w:rPr>
          <w:szCs w:val="28"/>
        </w:rPr>
        <w:t xml:space="preserve">3) </w:t>
      </w:r>
      <w:r>
        <w:rPr>
          <w:szCs w:val="28"/>
        </w:rPr>
        <w:t xml:space="preserve">переносом сроко</w:t>
      </w:r>
      <w:r>
        <w:rPr>
          <w:szCs w:val="28"/>
        </w:rPr>
        <w:t xml:space="preserve">в ввода в эксплуатацию объектов</w:t>
      </w:r>
      <w:r>
        <w:rPr>
          <w:szCs w:val="28"/>
        </w:rPr>
        <w:t xml:space="preserve"> </w:t>
      </w:r>
      <w:r>
        <w:rPr>
          <w:szCs w:val="28"/>
        </w:rPr>
        <w:t xml:space="preserve">инфраструктуры</w:t>
      </w:r>
      <w:r>
        <w:rPr>
          <w:szCs w:val="28"/>
        </w:rPr>
        <w:t xml:space="preserve">.</w:t>
      </w:r>
      <w:r/>
    </w:p>
    <w:p>
      <w:pPr>
        <w:pStyle w:val="882"/>
        <w:ind w:firstLine="709"/>
        <w:jc w:val="both"/>
      </w:pPr>
      <w:r>
        <w:rPr>
          <w:szCs w:val="28"/>
        </w:rPr>
        <w:t xml:space="preserve">Реализация данного проекта планируется за счет источников финансирования в рамках постановления Правительства Р</w:t>
      </w:r>
      <w:r>
        <w:rPr>
          <w:szCs w:val="28"/>
        </w:rPr>
        <w:t xml:space="preserve">оссийской Федерации</w:t>
      </w:r>
      <w:r>
        <w:rPr>
          <w:szCs w:val="28"/>
        </w:rPr>
        <w:t xml:space="preserve"> от 19.10.2020 № 1704 «Об утверждении Правил определения новых инвестиционных проектов, в целях реализации которых средства бюджета субъекта Российской Федераци</w:t>
      </w:r>
      <w:r>
        <w:rPr>
          <w:szCs w:val="28"/>
        </w:rPr>
        <w:t xml:space="preserve">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</w:t>
      </w:r>
      <w:r>
        <w:rPr>
          <w:szCs w:val="28"/>
        </w:rPr>
        <w:t xml:space="preserve">ии и (или) результатов инженер</w:t>
      </w:r>
      <w:r>
        <w:rPr>
          <w:szCs w:val="28"/>
        </w:rPr>
        <w:t xml:space="preserve">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</w:t>
      </w:r>
      <w:r>
        <w:rPr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afterAutospacing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Правовые акты, подлежащие признанию утратившими силу в связи с принятием проекта постановления, отсутствуют.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Проект постановления не подлежит оценке регулирующего воздействия, так как: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1) не устанавливает новые, не изменяет, не отменяет ранее предусмотренные нормативными правовыми актами обязательные требования, связанные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с осуществлением предпринимательской и иной экономической деятельности, оценка соблюдения 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оторых осуществляется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в рамках государственного контроля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(надзора), привлечения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не устанавливает новые, изменяющие или отменяющие ранее предусмотренные нормативными правовыми актами обязанности и запреты для субъектов предпринимательской и инвестиционной деятельности;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3) не устанавливает, не изменя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ет, не отменяет ответственность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 w:bidi="ar-SA"/>
        </w:rPr>
        <w:t xml:space="preserve"> за нарушение нормативных правовых актов, затрагивающих вопросы осуществления предпринимательской и иной экономической деятельности;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0"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закона не потребует внесения изменений в Закон Новосибирской области от 21.12.2023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413-ОЗ «Об областном бюджете Новосибирской области на 2024 год и плановый период 2025 и 2026 годов»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инистр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Васильев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pStyle w:val="87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А.А. Юрченко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(383) </w:t>
      </w:r>
      <w:r>
        <w:rPr>
          <w:rFonts w:ascii="Times New Roman" w:hAnsi="Times New Roman"/>
          <w:sz w:val="20"/>
          <w:szCs w:val="20"/>
        </w:rPr>
        <w:t xml:space="preserve">238 71 61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06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r>
      <w:fldChar w:fldCharType="begin"/>
    </w:r>
    <w: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2"/>
        <w:szCs w:val="22"/>
      </w:rPr>
      <w:t xml:space="preserve">2</w:t>
    </w:r>
    <w:r>
      <w:rPr>
        <w:sz w:val="22"/>
        <w:szCs w:val="22"/>
      </w:rPr>
      <w:fldChar w:fldCharType="end"/>
    </w:r>
    <w:r/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71">
    <w:name w:val="Основной шрифт абзаца"/>
    <w:next w:val="871"/>
    <w:link w:val="870"/>
    <w:uiPriority w:val="1"/>
    <w:semiHidden/>
    <w:unhideWhenUsed/>
  </w:style>
  <w:style w:type="table" w:styleId="872">
    <w:name w:val="Обычная таблица"/>
    <w:next w:val="872"/>
    <w:link w:val="870"/>
    <w:uiPriority w:val="99"/>
    <w:semiHidden/>
    <w:unhideWhenUsed/>
    <w:tblPr/>
  </w:style>
  <w:style w:type="numbering" w:styleId="873">
    <w:name w:val="Нет списка"/>
    <w:next w:val="873"/>
    <w:link w:val="870"/>
    <w:uiPriority w:val="99"/>
    <w:semiHidden/>
    <w:unhideWhenUsed/>
  </w:style>
  <w:style w:type="paragraph" w:styleId="874">
    <w:name w:val="Верхний колонтитул"/>
    <w:basedOn w:val="870"/>
    <w:next w:val="874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5">
    <w:name w:val="Верхний колонтитул Знак"/>
    <w:next w:val="875"/>
    <w:link w:val="8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>
    <w:name w:val="Абзац списка"/>
    <w:basedOn w:val="870"/>
    <w:next w:val="876"/>
    <w:link w:val="870"/>
    <w:uiPriority w:val="34"/>
    <w:qFormat/>
    <w:pPr>
      <w:contextualSpacing/>
      <w:ind w:left="720"/>
    </w:pPr>
  </w:style>
  <w:style w:type="table" w:styleId="877">
    <w:name w:val="Сетка таблицы"/>
    <w:basedOn w:val="872"/>
    <w:next w:val="877"/>
    <w:link w:val="870"/>
    <w:uiPriority w:val="59"/>
    <w:pPr>
      <w:spacing w:after="0" w:line="240" w:lineRule="auto"/>
    </w:pPr>
    <w:tblPr/>
  </w:style>
  <w:style w:type="paragraph" w:styleId="878">
    <w:name w:val="Текст выноски"/>
    <w:basedOn w:val="870"/>
    <w:next w:val="878"/>
    <w:link w:val="87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uiPriority w:val="99"/>
    <w:semiHidden/>
    <w:rPr>
      <w:rFonts w:ascii="Tahoma" w:hAnsi="Tahoma" w:cs="Tahoma"/>
      <w:sz w:val="16"/>
      <w:szCs w:val="16"/>
    </w:rPr>
  </w:style>
  <w:style w:type="paragraph" w:styleId="880">
    <w:name w:val="Нижний колонтитул"/>
    <w:basedOn w:val="870"/>
    <w:next w:val="880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>
    <w:name w:val="Нижний колонтитул Знак"/>
    <w:basedOn w:val="871"/>
    <w:next w:val="881"/>
    <w:link w:val="880"/>
    <w:uiPriority w:val="99"/>
  </w:style>
  <w:style w:type="paragraph" w:styleId="882">
    <w:name w:val="ConsPlusNormal"/>
    <w:next w:val="882"/>
    <w:link w:val="888"/>
    <w:pPr>
      <w:widowControl w:val="off"/>
    </w:pPr>
    <w:rPr>
      <w:rFonts w:ascii="Times New Roman" w:hAnsi="Times New Roman" w:eastAsia="Times New Roman"/>
      <w:sz w:val="28"/>
      <w:lang w:val="ru-RU" w:eastAsia="ru-RU" w:bidi="ar-SA"/>
    </w:rPr>
  </w:style>
  <w:style w:type="character" w:styleId="883">
    <w:name w:val="Гиперссылка"/>
    <w:next w:val="883"/>
    <w:link w:val="870"/>
    <w:uiPriority w:val="99"/>
    <w:unhideWhenUsed/>
    <w:rPr>
      <w:color w:val="0000ff"/>
      <w:u w:val="single"/>
    </w:rPr>
  </w:style>
  <w:style w:type="paragraph" w:styleId="884">
    <w:name w:val="Знак Знак Знак Знак"/>
    <w:basedOn w:val="870"/>
    <w:next w:val="884"/>
    <w:link w:val="870"/>
    <w:pPr>
      <w:jc w:val="both"/>
      <w:spacing w:before="40"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85">
    <w:name w:val="ConsPlusTitle"/>
    <w:next w:val="885"/>
    <w:link w:val="87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86">
    <w:name w:val="Основной текст"/>
    <w:basedOn w:val="870"/>
    <w:next w:val="886"/>
    <w:link w:val="887"/>
    <w:semiHidden/>
    <w:unhideWhenUsed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87">
    <w:name w:val="Основной текст Знак"/>
    <w:next w:val="887"/>
    <w:link w:val="886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88">
    <w:name w:val="ConsPlusNormal Знак"/>
    <w:next w:val="888"/>
    <w:link w:val="882"/>
    <w:rPr>
      <w:rFonts w:ascii="Times New Roman" w:hAnsi="Times New Roman" w:eastAsia="Times New Roman"/>
      <w:sz w:val="28"/>
    </w:r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table" w:styleId="8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Курганова Екатерина Владимировна</dc:creator>
  <cp:revision>15</cp:revision>
  <dcterms:created xsi:type="dcterms:W3CDTF">2023-01-17T10:49:00Z</dcterms:created>
  <dcterms:modified xsi:type="dcterms:W3CDTF">2024-07-23T02:45:39Z</dcterms:modified>
  <cp:version>1048576</cp:version>
</cp:coreProperties>
</file>