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9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/>
    </w:p>
    <w:p>
      <w:pPr>
        <w:pStyle w:val="669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</w:t>
      </w:r>
      <w:r/>
    </w:p>
    <w:p>
      <w:pPr>
        <w:pStyle w:val="669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9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9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ПОРЯД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ОК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предоставления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и распределения субсидий местным бюджетам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униципальных образований Новосибирской области на электроснабжение туристических кластеров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0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I.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Общие положения</w:t>
      </w:r>
      <w:r/>
    </w:p>
    <w:p>
      <w:pPr>
        <w:pStyle w:val="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9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Порядок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и распределения субсидий местным бюджетам муниципальных образований Новосибирской области на электроснабжение туристических кластеров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- Порядок) регламентирует предоставление субсиди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бюджетам муниципальных образований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(далее – местны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из областного бюджета Новосибирской области (далее – областной бюджет) на работы по строительству и вводу в эксплуатацию объектов электросетевого хозяйства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туристических кластеров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Объекты).</w:t>
      </w:r>
      <w:r/>
    </w:p>
    <w:p>
      <w:pPr>
        <w:pStyle w:val="669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67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II.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Целевое назначение субсиди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</w:t>
      </w:r>
      <w:r/>
    </w:p>
    <w:p>
      <w:pPr>
        <w:pStyle w:val="66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66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 предоставления субсиди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бюджет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оказание государственной поддержки муниципальным образованиям Новосибирской области (далее – Получатель)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строительство,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строительный контроль, авторский надзор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ввод в эксплуатацию Объектов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расположенных в курортных поселках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направленных на развитие туристических кластеров.</w:t>
      </w:r>
      <w:r/>
    </w:p>
    <w:p>
      <w:pPr>
        <w:pStyle w:val="66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Субсидии предоставляются Получателям в пределах бюджетных ассигнований и лимит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 бюджетных обязательств, предусмотренных министерству жилищно-коммунального хозяйства и энергетики Новосибирской области (далее - ГРБС), в порядке составления и ведения сводной бюджетной росписи и кассового плана областного бюджета Новосибирской области.</w:t>
      </w:r>
      <w:r/>
    </w:p>
    <w:p>
      <w:pPr>
        <w:pStyle w:val="66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67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III.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распределения субсиди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учетом предельных уровней софинансирования</w:t>
      </w:r>
      <w:r/>
    </w:p>
    <w:p>
      <w:pPr>
        <w:pStyle w:val="66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66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 Распределение субсиди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между местными бюджетами с учетом предельных уровней софинансирования, включая критерии отбора муниципальных образований для предоставления субсиди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осуществляется на основании информации, представленной органами местного самоуправления муниципальных образований Новосибирской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предварительной стоимости мероприятий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строительству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/>
    </w:p>
    <w:p>
      <w:pPr>
        <w:pStyle w:val="66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Получатели должны соответствовать следующим критериям отбора:</w:t>
      </w:r>
      <w:r/>
    </w:p>
    <w:p>
      <w:pPr>
        <w:pStyle w:val="66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информации органов местного самоуправления муниципальных образований Новосибирской области о предстоящем строительстве на территории муниципального образования Новосибирской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развития туристической инфраструктуры</w:t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санаторно-курортных зон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/>
    </w:p>
    <w:p>
      <w:pPr>
        <w:pStyle w:val="66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 наличие информации органов местного самоуправления муниципальных образований Новосибирской области о предварительной стоимости мероприятий по строительств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бъектов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образований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развития туристической инфраструктуры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санаторно-курортных зон;</w:t>
      </w:r>
      <w:r/>
    </w:p>
    <w:p>
      <w:pPr>
        <w:pStyle w:val="66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положительного заключения государственной эк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спертизы по проектно-сметной документации для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строительств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бъектов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образований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/>
    </w:p>
    <w:p>
      <w:pPr>
        <w:pStyle w:val="6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распределении субсиди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между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 xml:space="preserve">естными бюджетами объем субсидий</w:t>
      </w:r>
      <w:r>
        <w:rPr>
          <w:rFonts w:ascii="Times New Roman" w:hAnsi="Times New Roman" w:cs="Times New Roman"/>
          <w:sz w:val="28"/>
          <w:szCs w:val="28"/>
        </w:rPr>
        <w:t xml:space="preserve"> не может превышать объем бюджетных ассигнований на исполнение расходных обязательств муниципального образования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области, в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целях софин</w:t>
      </w:r>
      <w:r>
        <w:rPr>
          <w:rFonts w:ascii="Times New Roman" w:hAnsi="Times New Roman" w:cs="Times New Roman"/>
          <w:sz w:val="28"/>
          <w:szCs w:val="28"/>
        </w:rPr>
        <w:t xml:space="preserve">ансирования которых предоставляю</w:t>
      </w:r>
      <w:r>
        <w:rPr>
          <w:rFonts w:ascii="Times New Roman" w:hAnsi="Times New Roman" w:cs="Times New Roman"/>
          <w:sz w:val="28"/>
          <w:szCs w:val="28"/>
        </w:rPr>
        <w:t xml:space="preserve">тся субсиди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, с учетом предельного уровня софинансирования, установленно</w:t>
      </w:r>
      <w:r>
        <w:rPr>
          <w:rFonts w:ascii="Times New Roman" w:hAnsi="Times New Roman" w:cs="Times New Roman"/>
          <w:sz w:val="28"/>
          <w:szCs w:val="28"/>
        </w:rPr>
        <w:t xml:space="preserve">го соответствующим распоряжением Правительства Новосибирской области о предельных уровнях софинансирования Новосибирской областью (в процентах) объемов расходных обязательств муниципальных образований Новосибирской области на текущий год и плановый период.</w:t>
      </w:r>
      <w:r/>
    </w:p>
    <w:p>
      <w:pPr>
        <w:pStyle w:val="6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 Уровень </w:t>
      </w:r>
      <w:r>
        <w:rPr>
          <w:rFonts w:ascii="Times New Roman" w:hAnsi="Times New Roman" w:cs="Times New Roman"/>
          <w:sz w:val="28"/>
          <w:szCs w:val="28"/>
        </w:rPr>
        <w:t xml:space="preserve">софинансирования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областью объема расходных обязательств муниципальных образований равен предельному уровню </w:t>
      </w:r>
      <w:r>
        <w:rPr>
          <w:rFonts w:ascii="Times New Roman" w:hAnsi="Times New Roman" w:cs="Times New Roman"/>
          <w:sz w:val="28"/>
          <w:szCs w:val="28"/>
        </w:rPr>
        <w:t xml:space="preserve">софинансирования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, предусматриваемому распоряжением Правительства Новосибирской области об установлении предельных уровней </w:t>
      </w:r>
      <w:r>
        <w:rPr>
          <w:rFonts w:ascii="Times New Roman" w:hAnsi="Times New Roman" w:cs="Times New Roman"/>
          <w:sz w:val="28"/>
          <w:szCs w:val="28"/>
        </w:rPr>
        <w:t xml:space="preserve">софинансирования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период.</w:t>
      </w:r>
      <w:r/>
    </w:p>
    <w:p>
      <w:pPr>
        <w:pStyle w:val="6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Распределение субсиди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местным бюджетам устанавливается законом Новосибирской области об областном бюджете на соответствующий год и плановый период.</w:t>
      </w:r>
      <w:r/>
    </w:p>
    <w:p>
      <w:pPr>
        <w:pStyle w:val="66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670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IV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</w:rPr>
        <w:t xml:space="preserve">и условия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субсиди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/>
    </w:p>
    <w:p>
      <w:pPr>
        <w:pStyle w:val="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Основа</w:t>
      </w:r>
      <w:r>
        <w:rPr>
          <w:rFonts w:ascii="Times New Roman" w:hAnsi="Times New Roman" w:cs="Times New Roman"/>
          <w:sz w:val="28"/>
          <w:szCs w:val="28"/>
        </w:rPr>
        <w:t xml:space="preserve">нием для предоставления субсидий</w:t>
      </w:r>
      <w:r>
        <w:rPr>
          <w:rFonts w:ascii="Times New Roman" w:hAnsi="Times New Roman" w:cs="Times New Roman"/>
          <w:sz w:val="28"/>
          <w:szCs w:val="28"/>
        </w:rPr>
        <w:t xml:space="preserve"> является соглашение о предоставлении субсиди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, заключаемое между ГРБС и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олучателем субсиди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, в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типовой формой, утвержденной </w:t>
      </w:r>
      <w:r>
        <w:rPr>
          <w:rFonts w:ascii="Times New Roman" w:hAnsi="Times New Roman" w:cs="Times New Roman"/>
          <w:sz w:val="28"/>
          <w:szCs w:val="28"/>
        </w:rPr>
        <w:t xml:space="preserve">приказ</w:t>
      </w:r>
      <w:r>
        <w:rPr>
          <w:rFonts w:ascii="Times New Roman" w:hAnsi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финансов и налоговой политики </w:t>
      </w:r>
      <w:r>
        <w:rPr>
          <w:rFonts w:ascii="Times New Roman" w:hAnsi="Times New Roman" w:cs="Times New Roman"/>
          <w:sz w:val="28"/>
          <w:szCs w:val="28"/>
        </w:rPr>
        <w:t xml:space="preserve">Новоси</w:t>
      </w:r>
      <w:r>
        <w:rPr>
          <w:rFonts w:ascii="Times New Roman" w:hAnsi="Times New Roman" w:cs="Times New Roman"/>
          <w:sz w:val="28"/>
          <w:szCs w:val="28"/>
        </w:rPr>
        <w:t xml:space="preserve">бирской области от 09.01.2020 № </w:t>
      </w:r>
      <w:r>
        <w:rPr>
          <w:rFonts w:ascii="Times New Roman" w:hAnsi="Times New Roman" w:cs="Times New Roman"/>
          <w:sz w:val="28"/>
          <w:szCs w:val="28"/>
        </w:rPr>
        <w:t xml:space="preserve">1-НПА «Об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утверждении типовой формы соглашения о предоставлении субсидии из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областного бюджета Новосибирской области бюджету муниципального образования Новосибирской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согл</w:t>
      </w:r>
      <w:r>
        <w:rPr>
          <w:rFonts w:ascii="Times New Roman" w:hAnsi="Times New Roman" w:cs="Times New Roman"/>
          <w:sz w:val="28"/>
          <w:szCs w:val="28"/>
        </w:rPr>
        <w:t xml:space="preserve">ашение). </w:t>
      </w:r>
      <w:r/>
    </w:p>
    <w:p>
      <w:pPr>
        <w:pStyle w:val="6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Соглашение должно содержать в себе положения, указанные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пункте 8 </w:t>
      </w:r>
      <w:r>
        <w:rPr>
          <w:rFonts w:ascii="Times New Roman" w:hAnsi="Times New Roman" w:cs="Times New Roman"/>
          <w:sz w:val="28"/>
          <w:szCs w:val="28"/>
        </w:rPr>
        <w:t xml:space="preserve">Правил формирования, предоставления и распределения субсиди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из областного бюджета Новосибирской области бюджетам 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образований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области, установленных постановлением Правительства Новос</w:t>
      </w:r>
      <w:r>
        <w:rPr>
          <w:rFonts w:ascii="Times New Roman" w:hAnsi="Times New Roman" w:cs="Times New Roman"/>
          <w:sz w:val="28"/>
          <w:szCs w:val="28"/>
        </w:rPr>
        <w:t xml:space="preserve">ибирской области от 03.03.2020 №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40-п.</w:t>
      </w:r>
      <w:r/>
    </w:p>
    <w:p>
      <w:pPr>
        <w:pStyle w:val="6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Условия предоставления субсиди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/>
    </w:p>
    <w:p>
      <w:pPr>
        <w:pStyle w:val="6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0" w:name="P66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1) 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олучателем субсиди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ГРБС копий следующих документов в сроки, установленные в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оглашении:</w:t>
      </w:r>
      <w:r/>
    </w:p>
    <w:p>
      <w:pPr>
        <w:pStyle w:val="6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контрактов (договоров), заключенных в соответствии с Федеральным законом от 05.04.2013 №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44-ФЗ «О контрактной системе в сфере закупок товаров, работ, услуг для обеспечения государственных и муниципальных нужд»;</w:t>
      </w:r>
      <w:r/>
    </w:p>
    <w:p>
      <w:pPr>
        <w:pStyle w:val="6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выполнения строительно-монтажных работ обоснованием нач</w:t>
      </w:r>
      <w:r>
        <w:rPr>
          <w:rFonts w:ascii="Times New Roman" w:hAnsi="Times New Roman" w:cs="Times New Roman"/>
          <w:sz w:val="28"/>
          <w:szCs w:val="28"/>
        </w:rPr>
        <w:t xml:space="preserve">альной (максимальной) цены муниципального контракта (гражданско-правового договора) является положительное заключение государственной экспертизы о достоверности определения сметной стоимости строительства, реконструкции объектов капитального строительства;</w:t>
      </w:r>
      <w:r/>
    </w:p>
    <w:p>
      <w:pPr>
        <w:pStyle w:val="6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положительных заключений организаций, уполномоченных на проведение государ</w:t>
      </w:r>
      <w:r>
        <w:rPr>
          <w:rFonts w:ascii="Times New Roman" w:hAnsi="Times New Roman" w:cs="Times New Roman"/>
          <w:sz w:val="28"/>
          <w:szCs w:val="28"/>
        </w:rPr>
        <w:t xml:space="preserve">ственной экспертизы проектно-сметной документации, если проведение такой экспертизы предусмотрено законодательством Российской Федерации (для случаев разработки проектно-сметной документации, а также строительно-монтажных работ на объектах инфраструктуры);</w:t>
      </w:r>
      <w:r/>
    </w:p>
    <w:p>
      <w:pPr>
        <w:pStyle w:val="6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заключение на срок, соответствующий сроку распределения субсиди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между местными бюджетами, согл</w:t>
      </w:r>
      <w:r>
        <w:rPr>
          <w:rFonts w:ascii="Times New Roman" w:hAnsi="Times New Roman" w:cs="Times New Roman"/>
          <w:sz w:val="28"/>
          <w:szCs w:val="28"/>
        </w:rPr>
        <w:t xml:space="preserve">ашений о предоставлении субсиди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, предусматривающих обязательства муниципального образования по исполнению расходных обязательств, в целя</w:t>
      </w:r>
      <w:r>
        <w:rPr>
          <w:rFonts w:ascii="Times New Roman" w:hAnsi="Times New Roman" w:cs="Times New Roman"/>
          <w:sz w:val="28"/>
          <w:szCs w:val="28"/>
        </w:rPr>
        <w:t xml:space="preserve">х софинансирования которых предоставляются субсидии, и ответственность за неисполнение предусмотренных указанными соглашениями обязательств, в соответствии с типовыми формами, утверждаемыми министерством финансов и налоговой политики Новосибирской области;</w:t>
      </w:r>
      <w:r/>
    </w:p>
    <w:p>
      <w:pPr>
        <w:pStyle w:val="6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включение в соглашения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субсидий </w:t>
      </w:r>
      <w:r>
        <w:rPr>
          <w:rFonts w:ascii="Times New Roman" w:hAnsi="Times New Roman" w:cs="Times New Roman"/>
          <w:sz w:val="28"/>
          <w:szCs w:val="28"/>
        </w:rPr>
        <w:t xml:space="preserve">юридическим лицам (за исключением субсиди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муниципальным учреждениям), индивидуальным предпринимателям, а также физическим лицам - производителям товаров, работ, услуг, прочих субсиди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юридическим лицам, предоставляемых из местного бюджета за счет средств субсиди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, условия об отсутствии у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олучателей субсиди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просроченной (неурегулированной) задолженности по денежным обязательствам перед муниципальным образованием (за исключением случаев, установленных местной администрацией муниципального образования);</w:t>
      </w:r>
      <w:r/>
    </w:p>
    <w:p>
      <w:pPr>
        <w:pStyle w:val="6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наличие неиспользованного остатка субсиди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, предоставленных ранее на аналогичные цели, в объеме, не превышающем 5% от общего объема субсиди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, запланированных к предоставлению в соответствующем финансовом году, или его отсутствие;</w:t>
      </w:r>
      <w:r/>
    </w:p>
    <w:p>
      <w:pPr>
        <w:pStyle w:val="6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сокращение объема субсидии, в случае если объем бюджетных ассигнований на исполнение расходных обязательств муниципального образования, в целях софинансирования которых предоставляются субсидии, установлен в местном бюджете ниже уровней, предусмотренных п</w:t>
      </w:r>
      <w:r>
        <w:rPr>
          <w:rFonts w:ascii="Times New Roman" w:hAnsi="Times New Roman" w:cs="Times New Roman"/>
          <w:sz w:val="28"/>
          <w:szCs w:val="28"/>
        </w:rPr>
        <w:t xml:space="preserve">орядками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 xml:space="preserve">, пропорционально снижению соответствующего уровня финансирования исполнения расходных обязательств муниципального образования за счет средств местного бюджета;</w:t>
      </w:r>
      <w:r/>
    </w:p>
    <w:p>
      <w:pPr>
        <w:pStyle w:val="6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наличие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, утверждающих порядок использования средств местного бюджета, требования о принятии которых установлены бюджетным законодательством Российской Федерации и </w:t>
      </w:r>
      <w:r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актами, регулирующими бюджетные правоотношения (в случае если указанные расходные обязательства софинансируются за счет средств субсиди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и предусматривают предоставление из местных бюджетов межбюджетных трансфертов бюджетам городских и сельских поселений Новосибирской области (далее - поселения), субсиди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юридическим лицам (за исключением субсиди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муниципальным учреждениям), индивидуальным предпринимателям, а также физическим лицам - производителям товаров, работ, услуг, прочих субсиди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юридическим лицам)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6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централ</w:t>
      </w:r>
      <w:r>
        <w:rPr>
          <w:rFonts w:ascii="Times New Roman" w:hAnsi="Times New Roman" w:cs="Times New Roman"/>
          <w:sz w:val="28"/>
          <w:szCs w:val="28"/>
        </w:rPr>
        <w:t xml:space="preserve">изация закупок товаров, работ, услуг, финансовое обеспечение которых частично или полностью осуществляется за счет средств субсидии, в соответствии с пунктом 1 и подпунктом 2 пункта 4 постановления Правительства Новосибирской области от 30.12.2013 N 597-п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наделении полномочиями государственного казенного учреждения Новосибирской области "Управление контрактной системы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/>
    </w:p>
    <w:p>
      <w:pPr>
        <w:pStyle w:val="6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Основанием для отказа в предоставлении субсиди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  <w:r/>
    </w:p>
    <w:p>
      <w:pPr>
        <w:pStyle w:val="6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непредставление (представление не в полном объеме либо с нарушением сроков) документов, указанных в подпункте 1 пункта </w:t>
      </w:r>
      <w:r>
        <w:rPr>
          <w:rFonts w:ascii="Times New Roman" w:hAnsi="Times New Roman" w:cs="Times New Roman"/>
          <w:sz w:val="28"/>
          <w:szCs w:val="28"/>
        </w:rPr>
        <w:t xml:space="preserve">10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  <w:r/>
    </w:p>
    <w:p>
      <w:pPr>
        <w:pStyle w:val="6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неисполнение условий предоставления субсиди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, предусмотренных подпунктами 2 - 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 xml:space="preserve">10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r/>
    </w:p>
    <w:p>
      <w:pPr>
        <w:pStyle w:val="6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В случае нарушения получателем условий предоставления субсиди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, установленны</w:t>
      </w:r>
      <w:bookmarkStart w:id="1" w:name="_GoBack"/>
      <w:r/>
      <w:bookmarkEnd w:id="1"/>
      <w:r>
        <w:rPr>
          <w:rFonts w:ascii="Times New Roman" w:hAnsi="Times New Roman" w:cs="Times New Roman"/>
          <w:sz w:val="28"/>
          <w:szCs w:val="28"/>
        </w:rPr>
        <w:t xml:space="preserve">х настоящим Порядком, ГРБС в течение 10 рабочих дней со дня выявления нарушения направляет получателю уведомление об </w:t>
      </w:r>
      <w:r>
        <w:rPr>
          <w:rFonts w:ascii="Times New Roman" w:hAnsi="Times New Roman" w:cs="Times New Roman"/>
          <w:sz w:val="28"/>
          <w:szCs w:val="28"/>
        </w:rPr>
        <w:t xml:space="preserve">отказе в предоставлении субсидий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оснований для отказа.</w:t>
      </w:r>
      <w:r/>
    </w:p>
    <w:p>
      <w:pPr>
        <w:pStyle w:val="6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Условия расходования субсиди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/>
    </w:p>
    <w:p>
      <w:pPr>
        <w:pStyle w:val="6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существление расходов производится с лицевых счетов получателя или с лицевых счетов муниципальных казенных учреждений, уполномоченных органами м</w:t>
      </w:r>
      <w:r>
        <w:rPr>
          <w:rFonts w:ascii="Times New Roman" w:hAnsi="Times New Roman" w:cs="Times New Roman"/>
          <w:sz w:val="28"/>
          <w:szCs w:val="28"/>
        </w:rPr>
        <w:t xml:space="preserve">естного самоуправления, на основании муниципальных контрактов, гражданско-правовых договоров, соглашений, заключенных в соответствии с действующим законодательством, актов выполненных работ, счетов-фактур, с учетом авансовых платежей в размере, определенно</w:t>
      </w:r>
      <w:r>
        <w:rPr>
          <w:rFonts w:ascii="Times New Roman" w:hAnsi="Times New Roman" w:cs="Times New Roman"/>
          <w:sz w:val="28"/>
          <w:szCs w:val="28"/>
        </w:rPr>
        <w:t xml:space="preserve">м действующим законодательством;</w:t>
      </w:r>
      <w:r/>
    </w:p>
    <w:p>
      <w:pPr>
        <w:pStyle w:val="6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</w:t>
      </w:r>
      <w:r>
        <w:rPr>
          <w:rFonts w:ascii="Times New Roman" w:hAnsi="Times New Roman" w:cs="Times New Roman"/>
          <w:sz w:val="28"/>
          <w:szCs w:val="28"/>
        </w:rPr>
        <w:t xml:space="preserve">получатели вправе передавать субсидии и иные межбюджетные трансферты в бюджеты поселений, расположенных в границах соответствующих муниципальных районов, на цель,</w:t>
      </w:r>
      <w:r>
        <w:rPr>
          <w:rFonts w:ascii="Times New Roman" w:hAnsi="Times New Roman" w:cs="Times New Roman"/>
          <w:sz w:val="28"/>
          <w:szCs w:val="28"/>
        </w:rPr>
        <w:t xml:space="preserve"> определенную пунктом 2 настоящего Порядка.</w:t>
      </w:r>
      <w:r/>
    </w:p>
    <w:p>
      <w:pPr>
        <w:pStyle w:val="669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trike/>
          <w:sz w:val="28"/>
          <w:szCs w:val="28"/>
        </w:rPr>
      </w:r>
      <w:r/>
    </w:p>
    <w:p>
      <w:pPr>
        <w:pStyle w:val="670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V.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Результаты использования субсиди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/>
    </w:p>
    <w:p>
      <w:pPr>
        <w:pStyle w:val="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2" w:name="P85"/>
      <w:r/>
      <w:bookmarkEnd w:id="2"/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Результатом использования субсиди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является наличие акта о вводе в эксплуатацию Объектов. </w:t>
      </w:r>
      <w:r/>
    </w:p>
    <w:p>
      <w:pPr>
        <w:pStyle w:val="6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Значение показателя результата, указанного в настоящем пункте, должно быть установлено в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оглашении.</w:t>
      </w:r>
      <w:r/>
    </w:p>
    <w:p>
      <w:pPr>
        <w:pStyle w:val="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0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V</w:t>
      </w:r>
      <w:r>
        <w:rPr>
          <w:rFonts w:ascii="Times New Roman" w:hAnsi="Times New Roman" w:cs="Times New Roman"/>
          <w:sz w:val="28"/>
          <w:szCs w:val="28"/>
        </w:rPr>
        <w:t xml:space="preserve">I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Порядок оценки эффе</w:t>
      </w:r>
      <w:r>
        <w:rPr>
          <w:rFonts w:ascii="Times New Roman" w:hAnsi="Times New Roman" w:cs="Times New Roman"/>
          <w:sz w:val="28"/>
          <w:szCs w:val="28"/>
        </w:rPr>
        <w:t xml:space="preserve">ктивности использования субсиди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/>
    </w:p>
    <w:p>
      <w:pPr>
        <w:pStyle w:val="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Оценка эффективности использования субсиди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ГРБС на основе отчета о достижении показателей результатов использования субсиди</w:t>
      </w:r>
      <w:r>
        <w:rPr>
          <w:rFonts w:ascii="Times New Roman" w:hAnsi="Times New Roman" w:cs="Times New Roman"/>
          <w:sz w:val="28"/>
          <w:szCs w:val="28"/>
        </w:rPr>
        <w:t xml:space="preserve">й, </w:t>
      </w:r>
      <w:r>
        <w:rPr>
          <w:rFonts w:ascii="Times New Roman" w:hAnsi="Times New Roman" w:cs="Times New Roman"/>
          <w:sz w:val="28"/>
          <w:szCs w:val="28"/>
        </w:rPr>
        <w:t xml:space="preserve">представляемого П</w:t>
      </w:r>
      <w:r>
        <w:rPr>
          <w:rFonts w:ascii="Times New Roman" w:hAnsi="Times New Roman" w:cs="Times New Roman"/>
          <w:sz w:val="28"/>
          <w:szCs w:val="28"/>
        </w:rPr>
        <w:t xml:space="preserve">олучателем в сроки, установленные в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оглашении.</w:t>
      </w:r>
      <w:r/>
    </w:p>
    <w:p>
      <w:pPr>
        <w:pStyle w:val="6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Критерием оценки эффективности использования субсиди</w:t>
      </w:r>
      <w:r>
        <w:rPr>
          <w:rFonts w:ascii="Times New Roman" w:hAnsi="Times New Roman" w:cs="Times New Roman"/>
          <w:sz w:val="28"/>
          <w:szCs w:val="28"/>
        </w:rPr>
        <w:t xml:space="preserve">и является достижение показателя</w:t>
      </w:r>
      <w:r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использования су</w:t>
      </w:r>
      <w:r>
        <w:rPr>
          <w:rFonts w:ascii="Times New Roman" w:hAnsi="Times New Roman" w:cs="Times New Roman"/>
          <w:sz w:val="28"/>
          <w:szCs w:val="28"/>
        </w:rPr>
        <w:t xml:space="preserve">бсиди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, установленн</w:t>
      </w:r>
      <w:r>
        <w:rPr>
          <w:rFonts w:ascii="Times New Roman" w:hAnsi="Times New Roman" w:cs="Times New Roman"/>
          <w:sz w:val="28"/>
          <w:szCs w:val="28"/>
        </w:rPr>
        <w:t xml:space="preserve">ого</w:t>
      </w:r>
      <w:r>
        <w:rPr>
          <w:rFonts w:ascii="Times New Roman" w:hAnsi="Times New Roman" w:cs="Times New Roman"/>
          <w:sz w:val="28"/>
          <w:szCs w:val="28"/>
        </w:rPr>
        <w:t xml:space="preserve"> в пункте 1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r/>
    </w:p>
    <w:p>
      <w:pPr>
        <w:pStyle w:val="6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в отчетном финансовом году получателем не достигнуто установленное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оглашением значение показател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</w:t>
      </w:r>
      <w:r>
        <w:rPr>
          <w:rFonts w:ascii="Times New Roman" w:hAnsi="Times New Roman" w:cs="Times New Roman"/>
          <w:sz w:val="28"/>
          <w:szCs w:val="28"/>
        </w:rPr>
        <w:t xml:space="preserve">я субсиди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, указанных в пункте 1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средства субсидии подлежат возврату в областной бюджет Новосибирской области в соответствии с бюджетным законодательством Российской Федерации и Новосибирской области.</w:t>
      </w:r>
      <w:r/>
    </w:p>
    <w:p>
      <w:pPr>
        <w:pStyle w:val="6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расчета объема средств, подлежащих возврату из местного бюджета в областной бюджет Новосибирской области, в объеме субсидии, предоставленной местному бюджету в отчетном финансовом году, о</w:t>
      </w:r>
      <w:r>
        <w:rPr>
          <w:rFonts w:ascii="Times New Roman" w:hAnsi="Times New Roman" w:cs="Times New Roman"/>
          <w:sz w:val="28"/>
          <w:szCs w:val="28"/>
        </w:rPr>
        <w:t xml:space="preserve">пределен в Правилах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области, установленных постановлением Правительства Новосибирской области от 03.03.2020 №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40-п.</w:t>
      </w:r>
      <w:r/>
    </w:p>
    <w:p>
      <w:pPr>
        <w:pStyle w:val="6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0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VI</w:t>
      </w:r>
      <w:r>
        <w:rPr>
          <w:rFonts w:ascii="Times New Roman" w:hAnsi="Times New Roman" w:cs="Times New Roman"/>
          <w:sz w:val="28"/>
          <w:szCs w:val="28"/>
        </w:rPr>
        <w:t xml:space="preserve">I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Основания и порядок применения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 ответственности за нарушение</w:t>
      </w:r>
      <w:r>
        <w:rPr>
          <w:rFonts w:ascii="Times New Roman" w:hAnsi="Times New Roman" w:cs="Times New Roman"/>
          <w:sz w:val="28"/>
          <w:szCs w:val="28"/>
        </w:rPr>
        <w:t xml:space="preserve"> условий соглашений</w:t>
      </w:r>
      <w:r/>
    </w:p>
    <w:p>
      <w:pPr>
        <w:pStyle w:val="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ГРБС и орган государственного финансового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осуществляют обязательную проверку соблюдения условий, целей и порядка предоставления субсиди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их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олучателю.</w:t>
      </w:r>
      <w:r/>
    </w:p>
    <w:p>
      <w:pPr>
        <w:pStyle w:val="6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Остаток бюджетных средств, не использованный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олучател</w:t>
      </w:r>
      <w:r>
        <w:rPr>
          <w:rFonts w:ascii="Times New Roman" w:hAnsi="Times New Roman" w:cs="Times New Roman"/>
          <w:sz w:val="28"/>
          <w:szCs w:val="28"/>
        </w:rPr>
        <w:t xml:space="preserve">ем</w:t>
      </w:r>
      <w:r>
        <w:rPr>
          <w:rFonts w:ascii="Times New Roman" w:hAnsi="Times New Roman" w:cs="Times New Roman"/>
          <w:sz w:val="28"/>
          <w:szCs w:val="28"/>
        </w:rPr>
        <w:t xml:space="preserve"> в текущем финансовом году, подлежит возврату в областной бюджет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бюджетным законодательством Российской Федерации и Новосибирской области.</w:t>
      </w:r>
      <w:r/>
    </w:p>
    <w:p>
      <w:pPr>
        <w:pStyle w:val="6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Получатель субсидии несет ответственность за нецелевое использование субсидии в соответствии с бюджетным законодательством Российской Федерации и Новосибирской области.</w:t>
      </w:r>
      <w:r/>
    </w:p>
    <w:p>
      <w:pPr>
        <w:pStyle w:val="6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Получатель несет ответственность за недостижение результата предоставления субсидии, установленного в пункте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r/>
    </w:p>
    <w:p>
      <w:pPr>
        <w:pStyle w:val="6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Получатель и ГРБС несут ответственность за неисполнение или ненадлежащее исполнение обязательств по соглашению в соответствии с действующим законодательством Российской Федерации.</w:t>
      </w:r>
      <w:r/>
    </w:p>
    <w:p>
      <w:pPr>
        <w:pStyle w:val="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728294861"/>
      <w:docPartObj>
        <w:docPartGallery w:val="Page Numbers (Top of Page)"/>
        <w:docPartUnique w:val="true"/>
      </w:docPartObj>
      <w:rPr/>
    </w:sdtPr>
    <w:sdtContent>
      <w:p>
        <w:pPr>
          <w:pStyle w:val="681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5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5"/>
    <w:next w:val="66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5"/>
    <w:next w:val="66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5"/>
    <w:next w:val="66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5"/>
    <w:next w:val="66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5"/>
    <w:next w:val="66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5"/>
    <w:next w:val="66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5"/>
    <w:next w:val="66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5"/>
    <w:next w:val="66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5"/>
    <w:next w:val="66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5"/>
    <w:next w:val="66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6"/>
    <w:link w:val="34"/>
    <w:uiPriority w:val="10"/>
    <w:rPr>
      <w:sz w:val="48"/>
      <w:szCs w:val="48"/>
    </w:rPr>
  </w:style>
  <w:style w:type="paragraph" w:styleId="36">
    <w:name w:val="Subtitle"/>
    <w:basedOn w:val="665"/>
    <w:next w:val="66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6"/>
    <w:link w:val="36"/>
    <w:uiPriority w:val="11"/>
    <w:rPr>
      <w:sz w:val="24"/>
      <w:szCs w:val="24"/>
    </w:rPr>
  </w:style>
  <w:style w:type="paragraph" w:styleId="38">
    <w:name w:val="Quote"/>
    <w:basedOn w:val="665"/>
    <w:next w:val="66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5"/>
    <w:next w:val="66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6"/>
    <w:link w:val="681"/>
    <w:uiPriority w:val="99"/>
  </w:style>
  <w:style w:type="character" w:styleId="45">
    <w:name w:val="Footer Char"/>
    <w:basedOn w:val="666"/>
    <w:link w:val="683"/>
    <w:uiPriority w:val="99"/>
  </w:style>
  <w:style w:type="paragraph" w:styleId="46">
    <w:name w:val="Caption"/>
    <w:basedOn w:val="665"/>
    <w:next w:val="6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3"/>
    <w:uiPriority w:val="99"/>
  </w:style>
  <w:style w:type="table" w:styleId="49">
    <w:name w:val="Table Grid Light"/>
    <w:basedOn w:val="6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6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6"/>
    <w:uiPriority w:val="99"/>
    <w:unhideWhenUsed/>
    <w:rPr>
      <w:vertAlign w:val="superscript"/>
    </w:rPr>
  </w:style>
  <w:style w:type="paragraph" w:styleId="178">
    <w:name w:val="endnote text"/>
    <w:basedOn w:val="66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6"/>
    <w:uiPriority w:val="99"/>
    <w:semiHidden/>
    <w:unhideWhenUsed/>
    <w:rPr>
      <w:vertAlign w:val="superscript"/>
    </w:rPr>
  </w:style>
  <w:style w:type="paragraph" w:styleId="181">
    <w:name w:val="toc 1"/>
    <w:basedOn w:val="665"/>
    <w:next w:val="66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5"/>
    <w:next w:val="66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5"/>
    <w:next w:val="66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5"/>
    <w:next w:val="66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5"/>
    <w:next w:val="66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5"/>
    <w:next w:val="66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5"/>
    <w:next w:val="66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5"/>
    <w:next w:val="66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5"/>
    <w:next w:val="66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5"/>
    <w:next w:val="665"/>
    <w:uiPriority w:val="99"/>
    <w:unhideWhenUsed/>
    <w:pPr>
      <w:spacing w:after="0" w:afterAutospacing="0"/>
    </w:pPr>
  </w:style>
  <w:style w:type="paragraph" w:styleId="665" w:default="1">
    <w:name w:val="Normal"/>
    <w:qFormat/>
  </w:style>
  <w:style w:type="character" w:styleId="666" w:default="1">
    <w:name w:val="Default Paragraph Font"/>
    <w:uiPriority w:val="1"/>
    <w:semiHidden/>
    <w:unhideWhenUsed/>
  </w:style>
  <w:style w:type="table" w:styleId="6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8" w:default="1">
    <w:name w:val="No List"/>
    <w:uiPriority w:val="99"/>
    <w:semiHidden/>
    <w:unhideWhenUsed/>
  </w:style>
  <w:style w:type="paragraph" w:styleId="669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670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table" w:styleId="671">
    <w:name w:val="Table Grid"/>
    <w:basedOn w:val="667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72">
    <w:name w:val="annotation reference"/>
    <w:basedOn w:val="666"/>
    <w:uiPriority w:val="99"/>
    <w:semiHidden/>
    <w:unhideWhenUsed/>
    <w:rPr>
      <w:sz w:val="16"/>
      <w:szCs w:val="16"/>
    </w:rPr>
  </w:style>
  <w:style w:type="paragraph" w:styleId="673">
    <w:name w:val="annotation text"/>
    <w:basedOn w:val="665"/>
    <w:link w:val="674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674" w:customStyle="1">
    <w:name w:val="Текст примечания Знак"/>
    <w:basedOn w:val="666"/>
    <w:link w:val="673"/>
    <w:uiPriority w:val="99"/>
    <w:semiHidden/>
    <w:rPr>
      <w:sz w:val="20"/>
      <w:szCs w:val="20"/>
    </w:rPr>
  </w:style>
  <w:style w:type="paragraph" w:styleId="675">
    <w:name w:val="annotation subject"/>
    <w:basedOn w:val="673"/>
    <w:next w:val="673"/>
    <w:link w:val="676"/>
    <w:uiPriority w:val="99"/>
    <w:semiHidden/>
    <w:unhideWhenUsed/>
    <w:rPr>
      <w:b/>
      <w:bCs/>
    </w:rPr>
  </w:style>
  <w:style w:type="character" w:styleId="676" w:customStyle="1">
    <w:name w:val="Тема примечания Знак"/>
    <w:basedOn w:val="674"/>
    <w:link w:val="675"/>
    <w:uiPriority w:val="99"/>
    <w:semiHidden/>
    <w:rPr>
      <w:b/>
      <w:bCs/>
      <w:sz w:val="20"/>
      <w:szCs w:val="20"/>
    </w:rPr>
  </w:style>
  <w:style w:type="paragraph" w:styleId="677">
    <w:name w:val="Balloon Text"/>
    <w:basedOn w:val="665"/>
    <w:link w:val="67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78" w:customStyle="1">
    <w:name w:val="Текст выноски Знак"/>
    <w:basedOn w:val="666"/>
    <w:link w:val="677"/>
    <w:uiPriority w:val="99"/>
    <w:semiHidden/>
    <w:rPr>
      <w:rFonts w:ascii="Segoe UI" w:hAnsi="Segoe UI" w:cs="Segoe UI"/>
      <w:sz w:val="18"/>
      <w:szCs w:val="18"/>
    </w:rPr>
  </w:style>
  <w:style w:type="paragraph" w:styleId="679">
    <w:name w:val="Revision"/>
    <w:hidden/>
    <w:uiPriority w:val="99"/>
    <w:semiHidden/>
    <w:pPr>
      <w:spacing w:after="0" w:line="240" w:lineRule="auto"/>
    </w:pPr>
  </w:style>
  <w:style w:type="paragraph" w:styleId="680">
    <w:name w:val="Normal (Web)"/>
    <w:basedOn w:val="66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1">
    <w:name w:val="Header"/>
    <w:basedOn w:val="665"/>
    <w:link w:val="68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2" w:customStyle="1">
    <w:name w:val="Верхний колонтитул Знак"/>
    <w:basedOn w:val="666"/>
    <w:link w:val="681"/>
    <w:uiPriority w:val="99"/>
  </w:style>
  <w:style w:type="paragraph" w:styleId="683">
    <w:name w:val="Footer"/>
    <w:basedOn w:val="665"/>
    <w:link w:val="68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4" w:customStyle="1">
    <w:name w:val="Нижний колонтитул Знак"/>
    <w:basedOn w:val="666"/>
    <w:link w:val="683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Корбанов Денис Анатольевич</dc:creator>
  <cp:revision>13</cp:revision>
  <dcterms:created xsi:type="dcterms:W3CDTF">2022-12-29T05:53:00Z</dcterms:created>
  <dcterms:modified xsi:type="dcterms:W3CDTF">2023-07-05T04:19:22Z</dcterms:modified>
</cp:coreProperties>
</file>