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0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bookmarkStart w:id="1" w:name="_GoBack"/>
      <w:bookmarkEnd w:id="1"/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4A1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07313" w:rsidRPr="006B6EB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4A1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4A1802">
              <w:rPr>
                <w:rFonts w:ascii="Times New Roman" w:hAnsi="Times New Roman" w:cs="Times New Roman"/>
              </w:rPr>
              <w:t>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A1802"/>
    <w:rsid w:val="004F02B3"/>
    <w:rsid w:val="00587F41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ABEC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2023-12-20T08:07:00Z</dcterms:modified>
</cp:coreProperties>
</file>