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23495</wp:posOffset>
                </wp:positionV>
                <wp:extent cx="558800" cy="6604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88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1.30pt;mso-position-horizontal:absolute;mso-position-vertical-relative:text;margin-top:1.85pt;mso-position-vertical:absolute;width:44.00pt;height:52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p>
      <w:pPr>
        <w:pStyle w:val="907"/>
        <w:rPr>
          <w:sz w:val="20"/>
          <w:lang w:val="en-US"/>
        </w:rPr>
      </w:pPr>
      <w:r>
        <w:rPr>
          <w:sz w:val="20"/>
          <w:lang w:val="en-US"/>
        </w:rPr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pStyle w:val="90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firstLine="399"/>
        <w:jc w:val="center"/>
        <w:tabs>
          <w:tab w:val="left" w:pos="798" w:leader="none"/>
        </w:tabs>
        <w:rPr>
          <w:b/>
          <w:sz w:val="28"/>
        </w:rPr>
      </w:pPr>
      <w:r>
        <w:rPr>
          <w:b/>
          <w:sz w:val="28"/>
        </w:rPr>
        <w:t xml:space="preserve">ГОСУДАРСТВЕННАЯ ИНСПЕКЦИЯ ПО ОХРАНЕ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6"/>
        <w:ind w:firstLine="399"/>
        <w:jc w:val="center"/>
        <w:tabs>
          <w:tab w:val="left" w:pos="798" w:leader="none"/>
        </w:tabs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0"/>
        <w:ind w:firstLine="399"/>
        <w:jc w:val="center"/>
        <w:tabs>
          <w:tab w:val="left" w:pos="79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jc w:val="center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p>
      <w:pPr>
        <w:pStyle w:val="89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ПРИКАЗ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Style w:val="89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rPr>
          <w:sz w:val="28"/>
        </w:rPr>
      </w:pPr>
      <w:r>
        <w:rPr>
          <w:sz w:val="28"/>
        </w:rPr>
        <w:t xml:space="preserve">________</w:t>
      </w:r>
      <w:r>
        <w:rPr>
          <w:sz w:val="28"/>
        </w:rPr>
        <w:t xml:space="preserve">__</w:t>
        <w:tab/>
      </w:r>
      <w:r>
        <w:rPr>
          <w:sz w:val="28"/>
        </w:rPr>
        <w:t xml:space="preserve">__</w:t>
        <w:tab/>
        <w:tab/>
        <w:tab/>
        <w:tab/>
        <w:tab/>
        <w:tab/>
        <w:tab/>
        <w:tab/>
        <w:tab/>
      </w:r>
      <w:r>
        <w:rPr>
          <w:sz w:val="28"/>
        </w:rPr>
        <w:t xml:space="preserve">       </w:t>
      </w:r>
      <w:r>
        <w:rPr>
          <w:sz w:val="28"/>
        </w:rPr>
        <w:t xml:space="preserve">        </w:t>
      </w:r>
      <w:r>
        <w:rPr>
          <w:sz w:val="28"/>
        </w:rPr>
        <w:t xml:space="preserve">№ </w:t>
      </w:r>
      <w:r>
        <w:rPr>
          <w:sz w:val="28"/>
        </w:rPr>
        <w:t xml:space="preserve">_____</w:t>
      </w:r>
      <w:r>
        <w:rPr>
          <w:sz w:val="28"/>
        </w:rPr>
      </w:r>
      <w:r>
        <w:rPr>
          <w:sz w:val="28"/>
        </w:rPr>
      </w:r>
    </w:p>
    <w:p>
      <w:pPr>
        <w:pStyle w:val="896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6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6"/>
        <w:jc w:val="center"/>
        <w:rPr>
          <w:color w:val="auto"/>
        </w:rPr>
      </w:pPr>
      <w:r>
        <w:rPr>
          <w:b/>
          <w:color w:val="auto"/>
          <w:sz w:val="28"/>
          <w:szCs w:val="28"/>
        </w:rPr>
        <w:t xml:space="preserve">Об утверждении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административного регламента</w:t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г</w:t>
      </w:r>
      <w:r>
        <w:rPr>
          <w:b/>
          <w:bCs/>
          <w:color w:val="auto"/>
          <w:sz w:val="28"/>
          <w:szCs w:val="28"/>
        </w:rPr>
        <w:t xml:space="preserve">осударственной инспекции по охране объектов культурного наследия Новосибирской области предоставления государственной услуги по выдаче разрешения на строительство в случае, если при проведении работ по сохранению объекта культурного наследия затрагиваются </w:t>
      </w:r>
      <w:r>
        <w:rPr>
          <w:b/>
          <w:bCs/>
          <w:color w:val="auto"/>
          <w:sz w:val="28"/>
          <w:szCs w:val="28"/>
        </w:rPr>
        <w:t xml:space="preserve">конструктивные и другие характеристики надежности и безопасности такого объекта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89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9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96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областными исполнительными органами государс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твенной власти Новосибирской области административных регламентов предоставления государственных услуг, утвержденного постановлением Правительства Новосибирской области от 18.10.2010 № 176-п,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96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1. Утвердить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Административный регламент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осударственной инспекции по охране объектов культурного наследия Новосибирской области предоставления государственной услуги по выдаче разрешения на строительство в случае, если при проведении работ по сохранению объекта культурного наследия затрагиваются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конструктивные и другие характеристики надежности и безопасности такого объекта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(приложение).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2. Признать утратившими силу: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1) приказ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Управления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 государственной охране объектов культурного наследия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Новосибирской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от 17.10.2017 №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197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«Об утверж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дении Административного регламента государственной инспекции по охране объектов культурного наследия Новосибирской области предоставления государственной услуги по выдаче разрешения на строительство в случае осуществления строительства, реконстру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кции объекта культурного наследия федерального значения (за исключением отдельных объектов культурного наследия федерального значения, перечень которых утверждается Правительством Российской Федерации), объекта культурного наследия регионального значения,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выявленного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риказ государственной инспекции по охране объектов культурного наследия Новосибирской области от 23.08.2019 № 106 «О внесении изменений в приказ управления по государственной охране объектов культурного наследия Новосибирской области от 17.10.2017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№ 197 «Об утверждении административного регламента управления по государственной охране объектов культурного наследия Новосибирской области предоставления государственной услуги по выдаче разрешения на строительство в случае осуществления строительства, 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еконструкции объекта культурного наследия федерального значения (за исключением отдельных объектов культурного наследия федерального значения, перечень которых утверждается Правительством Российской Федерации), объекта культурного наследия регионального зн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ачения, выявленного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риказ государственной инспекции по охране объектов культурного наследия Новосибирской области от 25.02.2022 № 7 «О внесении изменений в приказ управления по государственной охране объектов культурного наследия Новосибирской области от 17.10.2017 №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197 «Об утверждении Административного регламента государственной инспекции по охране объектов культурного наследия Новосибирской области предоставления государственной услуги по выдаче разрешения на строительство в случае осуществления строительства, реко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нструкции объекта культурного наследия федерального значения (за исключением отдельных объектов культурного наследия федерального значения, перечень которых утверждается Правительством Российской Федерации), объекта культурного наследия регионального значе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ния, выявленного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896"/>
        <w:ind w:firstLine="708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Контроль исполнения настоящего приказа оставляю за собой.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инспекции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ab/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ab/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акавчик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11"/>
      </w:rPr>
      <w:framePr w:wrap="around" w:vAnchor="text" w:hAnchor="margin" w:xAlign="right" w:y="1"/>
    </w:pPr>
    <w:r>
      <w:rPr>
        <w:rStyle w:val="911"/>
      </w:rPr>
      <w:fldChar w:fldCharType="begin"/>
    </w:r>
    <w:r>
      <w:rPr>
        <w:rStyle w:val="911"/>
      </w:rPr>
      <w:instrText xml:space="preserve">PAGE  </w:instrText>
    </w:r>
    <w:r>
      <w:rPr>
        <w:rStyle w:val="911"/>
      </w:rPr>
      <w:fldChar w:fldCharType="separate"/>
    </w:r>
    <w:r>
      <w:rPr>
        <w:rStyle w:val="911"/>
      </w:rPr>
      <w:t xml:space="preserve">1</w:t>
    </w:r>
    <w:r>
      <w:rPr>
        <w:rStyle w:val="911"/>
      </w:rPr>
      <w:fldChar w:fldCharType="end"/>
    </w:r>
    <w:r>
      <w:rPr>
        <w:rStyle w:val="911"/>
      </w:rPr>
    </w:r>
    <w:r>
      <w:rPr>
        <w:rStyle w:val="911"/>
      </w:rPr>
    </w:r>
  </w:p>
  <w:p>
    <w:pPr>
      <w:pStyle w:val="90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11"/>
        <w:sz w:val="20"/>
        <w:szCs w:val="20"/>
      </w:rPr>
      <w:framePr w:wrap="around" w:vAnchor="text" w:hAnchor="page" w:x="6321" w:y="-213"/>
    </w:pPr>
    <w:r>
      <w:rPr>
        <w:rStyle w:val="911"/>
        <w:sz w:val="20"/>
        <w:szCs w:val="20"/>
      </w:rPr>
      <w:fldChar w:fldCharType="begin"/>
    </w:r>
    <w:r>
      <w:rPr>
        <w:rStyle w:val="911"/>
        <w:sz w:val="20"/>
        <w:szCs w:val="20"/>
      </w:rPr>
      <w:instrText xml:space="preserve">PAGE  </w:instrText>
    </w:r>
    <w:r>
      <w:rPr>
        <w:rStyle w:val="911"/>
        <w:sz w:val="20"/>
        <w:szCs w:val="20"/>
      </w:rPr>
      <w:fldChar w:fldCharType="separate"/>
    </w:r>
    <w:r>
      <w:rPr>
        <w:rStyle w:val="911"/>
        <w:sz w:val="20"/>
        <w:szCs w:val="20"/>
      </w:rPr>
      <w:t xml:space="preserve">3</w:t>
    </w:r>
    <w:r>
      <w:rPr>
        <w:rStyle w:val="911"/>
        <w:sz w:val="20"/>
        <w:szCs w:val="20"/>
      </w:rPr>
      <w:fldChar w:fldCharType="end"/>
    </w:r>
    <w:r>
      <w:rPr>
        <w:rStyle w:val="911"/>
        <w:sz w:val="20"/>
        <w:szCs w:val="20"/>
      </w:rPr>
    </w:r>
    <w:r>
      <w:rPr>
        <w:rStyle w:val="911"/>
        <w:sz w:val="20"/>
        <w:szCs w:val="20"/>
      </w:rPr>
    </w:r>
  </w:p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11"/>
      </w:rPr>
      <w:framePr w:wrap="around" w:vAnchor="text" w:hAnchor="margin" w:xAlign="center" w:y="1"/>
    </w:pPr>
    <w:r>
      <w:rPr>
        <w:rStyle w:val="911"/>
      </w:rPr>
      <w:fldChar w:fldCharType="begin"/>
    </w:r>
    <w:r>
      <w:rPr>
        <w:rStyle w:val="911"/>
      </w:rPr>
      <w:instrText xml:space="preserve">PAGE  </w:instrText>
    </w:r>
    <w:r>
      <w:rPr>
        <w:rStyle w:val="911"/>
      </w:rPr>
      <w:fldChar w:fldCharType="separate"/>
    </w:r>
    <w:r>
      <w:rPr>
        <w:rStyle w:val="911"/>
      </w:rPr>
      <w:t xml:space="preserve">1</w:t>
    </w:r>
    <w:r>
      <w:rPr>
        <w:rStyle w:val="911"/>
      </w:rPr>
      <w:fldChar w:fldCharType="end"/>
    </w:r>
    <w:r>
      <w:rPr>
        <w:rStyle w:val="911"/>
      </w:rPr>
    </w:r>
    <w:r>
      <w:rPr>
        <w:rStyle w:val="911"/>
      </w:rPr>
    </w:r>
  </w:p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97">
    <w:name w:val="Заголовок 1"/>
    <w:basedOn w:val="896"/>
    <w:next w:val="896"/>
    <w:link w:val="917"/>
    <w:uiPriority w:val="9"/>
    <w:qFormat/>
    <w:pPr>
      <w:keepLines/>
      <w:keepNext/>
      <w:spacing w:before="48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898">
    <w:name w:val="Заголовок 2"/>
    <w:basedOn w:val="896"/>
    <w:next w:val="896"/>
    <w:link w:val="904"/>
    <w:qFormat/>
    <w:pPr>
      <w:jc w:val="center"/>
      <w:keepNext/>
      <w:outlineLvl w:val="1"/>
    </w:pPr>
    <w:rPr>
      <w:sz w:val="28"/>
      <w:szCs w:val="20"/>
    </w:rPr>
  </w:style>
  <w:style w:type="paragraph" w:styleId="899">
    <w:name w:val="Заголовок 3"/>
    <w:basedOn w:val="896"/>
    <w:next w:val="896"/>
    <w:link w:val="905"/>
    <w:qFormat/>
    <w:pPr>
      <w:jc w:val="both"/>
      <w:keepNext/>
      <w:outlineLvl w:val="2"/>
    </w:pPr>
    <w:rPr>
      <w:szCs w:val="20"/>
    </w:rPr>
  </w:style>
  <w:style w:type="paragraph" w:styleId="900">
    <w:name w:val="Заголовок 4"/>
    <w:basedOn w:val="896"/>
    <w:next w:val="896"/>
    <w:link w:val="906"/>
    <w:qFormat/>
    <w:pPr>
      <w:keepNext/>
      <w:outlineLvl w:val="3"/>
    </w:pPr>
    <w:rPr>
      <w:szCs w:val="20"/>
    </w:rPr>
  </w:style>
  <w:style w:type="character" w:styleId="901">
    <w:name w:val="Основной шрифт абзаца"/>
    <w:next w:val="901"/>
    <w:link w:val="896"/>
    <w:uiPriority w:val="1"/>
    <w:semiHidden/>
    <w:unhideWhenUsed/>
  </w:style>
  <w:style w:type="table" w:styleId="902">
    <w:name w:val="Обычная таблица"/>
    <w:next w:val="902"/>
    <w:link w:val="896"/>
    <w:uiPriority w:val="99"/>
    <w:semiHidden/>
    <w:unhideWhenUsed/>
    <w:tblPr/>
  </w:style>
  <w:style w:type="numbering" w:styleId="903">
    <w:name w:val="Нет списка"/>
    <w:next w:val="903"/>
    <w:link w:val="896"/>
    <w:uiPriority w:val="99"/>
    <w:semiHidden/>
    <w:unhideWhenUsed/>
  </w:style>
  <w:style w:type="character" w:styleId="904">
    <w:name w:val="Заголовок 2 Знак"/>
    <w:next w:val="904"/>
    <w:link w:val="8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5">
    <w:name w:val="Заголовок 3 Знак"/>
    <w:next w:val="905"/>
    <w:link w:val="8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06">
    <w:name w:val="Заголовок 4 Знак"/>
    <w:next w:val="906"/>
    <w:link w:val="90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07">
    <w:name w:val="Название"/>
    <w:basedOn w:val="896"/>
    <w:next w:val="907"/>
    <w:link w:val="908"/>
    <w:qFormat/>
    <w:pPr>
      <w:jc w:val="center"/>
    </w:pPr>
    <w:rPr>
      <w:sz w:val="28"/>
    </w:rPr>
  </w:style>
  <w:style w:type="character" w:styleId="908">
    <w:name w:val="Название Знак"/>
    <w:next w:val="908"/>
    <w:link w:val="907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09">
    <w:name w:val="Нижний колонтитул"/>
    <w:basedOn w:val="896"/>
    <w:next w:val="909"/>
    <w:link w:val="910"/>
    <w:uiPriority w:val="99"/>
    <w:pPr>
      <w:tabs>
        <w:tab w:val="center" w:pos="4677" w:leader="none"/>
        <w:tab w:val="right" w:pos="9355" w:leader="none"/>
      </w:tabs>
    </w:pPr>
  </w:style>
  <w:style w:type="character" w:styleId="910">
    <w:name w:val="Нижний колонтитул Знак"/>
    <w:next w:val="910"/>
    <w:link w:val="90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1">
    <w:name w:val="Номер страницы"/>
    <w:basedOn w:val="901"/>
    <w:next w:val="911"/>
    <w:link w:val="896"/>
  </w:style>
  <w:style w:type="paragraph" w:styleId="912">
    <w:name w:val="Верхний колонтитул"/>
    <w:basedOn w:val="896"/>
    <w:next w:val="912"/>
    <w:link w:val="913"/>
    <w:pPr>
      <w:tabs>
        <w:tab w:val="center" w:pos="4677" w:leader="none"/>
        <w:tab w:val="right" w:pos="9355" w:leader="none"/>
      </w:tabs>
    </w:pPr>
  </w:style>
  <w:style w:type="character" w:styleId="913">
    <w:name w:val="Верхний колонтитул Знак"/>
    <w:next w:val="913"/>
    <w:link w:val="91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>
    <w:name w:val="Абзац списка"/>
    <w:basedOn w:val="896"/>
    <w:next w:val="914"/>
    <w:link w:val="896"/>
    <w:uiPriority w:val="34"/>
    <w:qFormat/>
    <w:pPr>
      <w:contextualSpacing/>
      <w:ind w:left="720"/>
    </w:pPr>
  </w:style>
  <w:style w:type="paragraph" w:styleId="915">
    <w:name w:val="Текст выноски"/>
    <w:basedOn w:val="896"/>
    <w:next w:val="915"/>
    <w:link w:val="916"/>
    <w:uiPriority w:val="99"/>
    <w:semiHidden/>
    <w:unhideWhenUsed/>
    <w:rPr>
      <w:rFonts w:ascii="Tahoma" w:hAnsi="Tahoma" w:cs="Tahoma"/>
      <w:sz w:val="16"/>
      <w:szCs w:val="16"/>
    </w:rPr>
  </w:style>
  <w:style w:type="character" w:styleId="916">
    <w:name w:val="Текст выноски Знак"/>
    <w:next w:val="916"/>
    <w:link w:val="91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17">
    <w:name w:val="Заголовок 1 Знак"/>
    <w:next w:val="917"/>
    <w:link w:val="897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 АС</dc:creator>
  <cp:revision>37</cp:revision>
  <dcterms:created xsi:type="dcterms:W3CDTF">2023-02-03T08:29:00Z</dcterms:created>
  <dcterms:modified xsi:type="dcterms:W3CDTF">2023-10-30T06:39:25Z</dcterms:modified>
  <cp:version>917504</cp:version>
</cp:coreProperties>
</file>