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rPr>
          <w:sz w:val="28"/>
          <w:szCs w:val="28"/>
        </w:rPr>
      </w:pPr>
      <w:r>
        <w:rPr>
          <w:sz w:val="28"/>
          <w:szCs w:val="28"/>
        </w:rPr>
        <w:t xml:space="preserve">МИНИСТЕРСТВО ЭКОНОМИЧЕСКОГО РАЗВИТИЯ </w:t>
      </w:r>
      <w:r/>
    </w:p>
    <w:p>
      <w:pPr>
        <w:pStyle w:val="646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/>
    </w:p>
    <w:p>
      <w:pPr>
        <w:pStyle w:val="640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0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ПОЯСНИТЕЛЬНАЯ ЗАПИСКА</w:t>
      </w:r>
      <w:r/>
    </w:p>
    <w:p>
      <w:pPr>
        <w:pStyle w:val="640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640"/>
        <w:ind w:left="10" w:hanging="10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проекту постановления Правительства Новосибирской области</w:t>
      </w:r>
      <w:r/>
    </w:p>
    <w:p>
      <w:pPr>
        <w:pStyle w:val="640"/>
        <w:ind w:left="10" w:hanging="10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 внесении изменений в постановление Правительства </w:t>
      </w:r>
      <w:r>
        <w:rPr>
          <w:b/>
          <w:bCs/>
          <w:sz w:val="28"/>
          <w:szCs w:val="28"/>
        </w:rPr>
      </w:r>
      <w:r/>
    </w:p>
    <w:p>
      <w:pPr>
        <w:pStyle w:val="640"/>
        <w:ind w:left="10" w:hanging="10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 от 01.04.2015 № 126-п»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/>
    </w:p>
    <w:p>
      <w:pPr>
        <w:pStyle w:val="640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640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640"/>
        <w:ind w:firstLine="709"/>
        <w:jc w:val="both"/>
        <w:tabs>
          <w:tab w:val="left" w:pos="993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Проект постановления Правительства Новосибирской области «О внесении изменений в постановление Правительства Новосибирской области </w:t>
      </w:r>
      <w:r>
        <w:rPr>
          <w:spacing w:val="-2"/>
          <w:sz w:val="28"/>
          <w:szCs w:val="28"/>
        </w:rPr>
        <w:br w:type="textWrapping" w:clear="all"/>
      </w:r>
      <w:r>
        <w:rPr>
          <w:spacing w:val="-2"/>
          <w:sz w:val="28"/>
          <w:szCs w:val="28"/>
        </w:rPr>
        <w:t xml:space="preserve">от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01.04.2015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№</w:t>
      </w:r>
      <w:r>
        <w:rPr>
          <w:spacing w:val="-2"/>
          <w:sz w:val="28"/>
          <w:szCs w:val="28"/>
        </w:rPr>
        <w:t xml:space="preserve"> </w:t>
      </w:r>
      <w:r>
        <w:rPr>
          <w:spacing w:val="-2"/>
          <w:sz w:val="28"/>
          <w:szCs w:val="28"/>
        </w:rPr>
        <w:t xml:space="preserve">126-п» (далее – проект пос</w:t>
      </w:r>
      <w:r>
        <w:rPr>
          <w:spacing w:val="-2"/>
          <w:sz w:val="28"/>
          <w:szCs w:val="28"/>
        </w:rPr>
        <w:t xml:space="preserve">тановления) разработан в </w:t>
      </w:r>
      <w:r>
        <w:rPr>
          <w:spacing w:val="-2"/>
          <w:sz w:val="28"/>
          <w:szCs w:val="28"/>
        </w:rPr>
        <w:t xml:space="preserve">соответствии с постановлением Правительства Российской Федерации от 28.04.2022 № 775 </w:t>
      </w:r>
      <w:r>
        <w:rPr>
          <w:spacing w:val="-2"/>
          <w:sz w:val="28"/>
          <w:szCs w:val="28"/>
        </w:rPr>
        <w:br w:type="textWrapping" w:clear="all"/>
      </w:r>
      <w:r>
        <w:rPr>
          <w:spacing w:val="-2"/>
          <w:sz w:val="28"/>
          <w:szCs w:val="28"/>
        </w:rPr>
        <w:t xml:space="preserve">«О внесении изменений в государственную программу Российской Федерации «Экономическое развитие и инновационная экономика»</w:t>
      </w:r>
      <w:r>
        <w:rPr>
          <w:spacing w:val="-2"/>
          <w:sz w:val="28"/>
          <w:szCs w:val="28"/>
        </w:rPr>
        <w:t xml:space="preserve"> (далее – постановление № 775)</w:t>
      </w:r>
      <w:r>
        <w:rPr>
          <w:spacing w:val="-2"/>
          <w:sz w:val="28"/>
          <w:szCs w:val="28"/>
        </w:rPr>
        <w:t xml:space="preserve">, которым </w:t>
      </w:r>
      <w:r>
        <w:rPr>
          <w:spacing w:val="-2"/>
          <w:sz w:val="28"/>
          <w:szCs w:val="28"/>
        </w:rPr>
        <w:t xml:space="preserve">установлено</w:t>
      </w:r>
      <w:r>
        <w:rPr>
          <w:spacing w:val="-2"/>
          <w:sz w:val="28"/>
          <w:szCs w:val="28"/>
        </w:rPr>
        <w:t xml:space="preserve">, что </w:t>
      </w:r>
      <w:r>
        <w:rPr>
          <w:spacing w:val="-2"/>
          <w:sz w:val="28"/>
          <w:szCs w:val="28"/>
        </w:rPr>
        <w:t xml:space="preserve">с 01.01.2024 средства из федерального бюджета бюджетам субъектов Российской Федерации в целях софинансирования</w:t>
      </w:r>
      <w:r>
        <w:rPr>
          <w:spacing w:val="-2"/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«Адресная поддержка повышения производительности труда на предприятиях</w:t>
      </w:r>
      <w:r>
        <w:rPr>
          <w:spacing w:val="-2"/>
          <w:sz w:val="28"/>
          <w:szCs w:val="28"/>
        </w:rPr>
        <w:t xml:space="preserve">»</w:t>
      </w:r>
      <w:r>
        <w:rPr>
          <w:spacing w:val="-2"/>
          <w:sz w:val="28"/>
          <w:szCs w:val="28"/>
        </w:rPr>
        <w:t xml:space="preserve">, входящего в состав национального проекта «Производительность труда»</w:t>
      </w:r>
      <w:r>
        <w:rPr>
          <w:spacing w:val="-2"/>
          <w:sz w:val="28"/>
          <w:szCs w:val="28"/>
        </w:rPr>
        <w:t xml:space="preserve">, будут пре</w:t>
      </w:r>
      <w:r>
        <w:rPr>
          <w:spacing w:val="-2"/>
          <w:sz w:val="28"/>
          <w:szCs w:val="28"/>
        </w:rPr>
        <w:t xml:space="preserve">доставляться в форме субсидий в соответствии с Правилами предоставления субсидий из федерального бюджета бюджетам субъектов Российской Федерации на достижение результатов национального проекта «Производительность труда», утвержденными постановлением № 775.</w:t>
      </w:r>
      <w:r>
        <w:rPr>
          <w:spacing w:val="-2"/>
          <w:sz w:val="28"/>
          <w:szCs w:val="28"/>
        </w:rPr>
      </w:r>
      <w:r/>
    </w:p>
    <w:p>
      <w:pPr>
        <w:pStyle w:val="640"/>
        <w:ind w:firstLine="709"/>
        <w:jc w:val="both"/>
        <w:tabs>
          <w:tab w:val="left" w:pos="993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Проектом предлагается внесение изменений </w:t>
      </w:r>
      <w:r>
        <w:rPr>
          <w:spacing w:val="-2"/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 xml:space="preserve">п</w:t>
      </w:r>
      <w:r>
        <w:rPr>
          <w:spacing w:val="-2"/>
          <w:sz w:val="28"/>
          <w:szCs w:val="28"/>
        </w:rPr>
        <w:t xml:space="preserve">орядки предоставления субсидий из областного бюджета Новосибирской области на ф</w:t>
      </w:r>
      <w:r>
        <w:rPr>
          <w:spacing w:val="-2"/>
          <w:sz w:val="28"/>
          <w:szCs w:val="28"/>
        </w:rPr>
        <w:t xml:space="preserve">инансовое обеспечение деятельности Регионального центра компетенций в сфере производительности труда и на возмещение затрат, связанных с деятельностью Регионального центра компетенций в сфере производительности труда (приложения № 19 и № 20 к постановлению</w:t>
      </w:r>
      <w:r>
        <w:rPr>
          <w:spacing w:val="-2"/>
          <w:sz w:val="28"/>
          <w:szCs w:val="28"/>
        </w:rPr>
        <w:t xml:space="preserve"> Правительства Новосибирской области от 01.04.2015 № 126-п соответственно) в части </w:t>
      </w:r>
      <w:r>
        <w:rPr>
          <w:sz w:val="28"/>
          <w:szCs w:val="28"/>
        </w:rPr>
        <w:t xml:space="preserve">изменения формы предоставления средств из федерального бюджета с иных межбюджетных трансфертов (государственная поддержка субъектов Российской Федерации в целях достижения результатов национального проекта </w:t>
      </w:r>
      <w:r>
        <w:rPr>
          <w:sz w:val="28"/>
          <w:szCs w:val="28"/>
        </w:rPr>
        <w:t xml:space="preserve">«Производительность </w:t>
        <w:br w:type="textWrapping" w:clear="all"/>
        <w:t xml:space="preserve">труда», КБК </w:t>
      </w:r>
      <w:r>
        <w:rPr>
          <w:sz w:val="28"/>
          <w:szCs w:val="28"/>
        </w:rPr>
        <w:t xml:space="preserve">139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0412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152L2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52890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540) </w:t>
      </w:r>
      <w:r>
        <w:rPr>
          <w:sz w:val="28"/>
          <w:szCs w:val="28"/>
        </w:rPr>
        <w:t xml:space="preserve">на консолидированные субсидии </w:t>
      </w:r>
      <w:r>
        <w:rPr>
          <w:sz w:val="28"/>
          <w:szCs w:val="28"/>
        </w:rPr>
        <w:t xml:space="preserve">(государственная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поддержка субъектов Российской Федерации в целях достижения результатов национального проекта «Производительность труда», КБК 139 0412 152L2 52890 523).</w:t>
      </w:r>
      <w:r>
        <w:rPr>
          <w:spacing w:val="-2"/>
          <w:sz w:val="28"/>
          <w:szCs w:val="28"/>
        </w:rPr>
      </w:r>
      <w:r/>
    </w:p>
    <w:p>
      <w:pPr>
        <w:pStyle w:val="640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не подлежит оценке регулирующего воздействия, поскольку не устанавливает новые, не изменяет ранее предусмотрен</w:t>
      </w:r>
      <w:r>
        <w:rPr>
          <w:sz w:val="28"/>
          <w:szCs w:val="28"/>
        </w:rPr>
        <w:t xml:space="preserve">ные нормативными правовыми актами Новосибирской области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</w:t>
      </w:r>
      <w:r>
        <w:rPr>
          <w:sz w:val="28"/>
          <w:szCs w:val="28"/>
        </w:rPr>
        <w:t xml:space="preserve">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экспертиз; не устанавливает новые, не изменяет ранее предусмотренные нормативными правовыми актами обязанно</w:t>
      </w:r>
      <w:r>
        <w:rPr>
          <w:sz w:val="28"/>
          <w:szCs w:val="28"/>
        </w:rPr>
        <w:t xml:space="preserve">сти и запреты для субъектов предпринимательской и инвестиционной деятельности; не устанавливает, не изменяет ответственность за нарушение нормативных правовых актов, затрагивающих вопросы осуществления предпринимательской и иной экономической деятельности.</w:t>
      </w:r>
      <w:r/>
    </w:p>
    <w:p>
      <w:pPr>
        <w:ind w:firstLine="709"/>
        <w:jc w:val="both"/>
        <w:spacing w:after="0" w:line="240" w:lineRule="auto"/>
        <w:shd w:val="clear" w:color="auto" w:fill="ffffff"/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Принятие проекта постановления не потребует внесения изменений, признания утратившими силу нормативных правовых актов Новосибирской области.</w:t>
      </w:r>
      <w:r>
        <w:rPr>
          <w:rFonts w:ascii="Times New Roman" w:hAnsi="Times New Roman" w:cs="Times New Roman"/>
          <w:spacing w:val="-2"/>
          <w:sz w:val="28"/>
          <w:szCs w:val="28"/>
        </w:rPr>
      </w:r>
      <w:r/>
    </w:p>
    <w:p>
      <w:pPr>
        <w:pStyle w:val="650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/>
      <w:r/>
      <w:r/>
    </w:p>
    <w:p>
      <w:pPr>
        <w:pStyle w:val="640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0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0"/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69"/>
        <w:gridCol w:w="5069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640"/>
              <w:jc w:val="both"/>
              <w:tabs>
                <w:tab w:val="left" w:pos="-666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640"/>
              <w:jc w:val="right"/>
              <w:tabs>
                <w:tab w:val="left" w:pos="-666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/>
          </w:p>
        </w:tc>
      </w:tr>
    </w:tbl>
    <w:p>
      <w:pPr>
        <w:pStyle w:val="640"/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/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>
        <w:t xml:space="preserve">В.Е. Шляхто</w:t>
      </w:r>
      <w:r/>
    </w:p>
    <w:p>
      <w:pPr>
        <w:pStyle w:val="640"/>
        <w:jc w:val="both"/>
        <w:shd w:val="clear" w:color="auto" w:fill="ffffff"/>
        <w:tabs>
          <w:tab w:val="left" w:pos="-6663" w:leader="none"/>
        </w:tabs>
      </w:pPr>
      <w:r>
        <w:t xml:space="preserve">238-67-53</w:t>
      </w:r>
      <w:r/>
    </w:p>
    <w:sectPr>
      <w:headerReference w:type="default" r:id="rId9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0"/>
        <w:ind w:left="15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0"/>
        <w:ind w:left="22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0"/>
        <w:ind w:left="294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0"/>
        <w:ind w:left="36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0"/>
        <w:ind w:left="43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0"/>
        <w:ind w:left="510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0"/>
        <w:ind w:left="58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0"/>
        <w:ind w:left="65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0"/>
        <w:ind w:left="726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0"/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4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0"/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0"/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0"/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0"/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40"/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40"/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40"/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40"/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40"/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40"/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40"/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40"/>
        <w:ind w:left="7189" w:hanging="180"/>
        <w:tabs>
          <w:tab w:val="num" w:pos="7189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0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0"/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0"/>
        <w:ind w:left="360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4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0"/>
        <w:ind w:left="6829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64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0"/>
        <w:ind w:left="682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40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40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40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40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40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40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40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40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40"/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40"/>
        <w:ind w:left="1429" w:hanging="360"/>
        <w:tabs>
          <w:tab w:val="num" w:pos="1429" w:leader="none"/>
        </w:tabs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40"/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40"/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40"/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40"/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40"/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40"/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40"/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40"/>
        <w:ind w:left="7189" w:hanging="180"/>
        <w:tabs>
          <w:tab w:val="num" w:pos="7189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0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0"/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40"/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40"/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40"/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40"/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40"/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40"/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40"/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40"/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40"/>
        <w:ind w:left="684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4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0"/>
        <w:ind w:left="6829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5"/>
  </w:num>
  <w:num w:numId="5">
    <w:abstractNumId w:val="10"/>
  </w:num>
  <w:num w:numId="6">
    <w:abstractNumId w:val="6"/>
  </w:num>
  <w:num w:numId="7">
    <w:abstractNumId w:val="2"/>
  </w:num>
  <w:num w:numId="8">
    <w:abstractNumId w:val="11"/>
  </w:num>
  <w:num w:numId="9">
    <w:abstractNumId w:val="4"/>
  </w:num>
  <w:num w:numId="10">
    <w:abstractNumId w:val="8"/>
  </w:num>
  <w:num w:numId="11">
    <w:abstractNumId w:val="7"/>
  </w:num>
  <w:num w:numId="12">
    <w:abstractNumId w:val="0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0"/>
    <w:next w:val="64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0"/>
    <w:next w:val="64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0"/>
    <w:next w:val="64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0"/>
    <w:next w:val="64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0"/>
    <w:next w:val="64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0"/>
    <w:next w:val="64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0"/>
    <w:next w:val="64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0"/>
    <w:next w:val="64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0"/>
    <w:next w:val="64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0"/>
    <w:next w:val="64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0"/>
    <w:next w:val="64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0"/>
    <w:next w:val="64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0"/>
    <w:next w:val="64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0"/>
    <w:next w:val="6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0"/>
    <w:next w:val="64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0"/>
    <w:next w:val="64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0"/>
    <w:next w:val="64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0"/>
    <w:next w:val="64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0"/>
    <w:next w:val="64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0"/>
    <w:next w:val="64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0"/>
    <w:next w:val="64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0"/>
    <w:next w:val="64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0"/>
    <w:next w:val="64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0"/>
    <w:next w:val="640"/>
    <w:uiPriority w:val="99"/>
    <w:unhideWhenUsed/>
    <w:pPr>
      <w:spacing w:after="0" w:afterAutospacing="0"/>
    </w:pPr>
  </w:style>
  <w:style w:type="paragraph" w:styleId="640" w:default="1">
    <w:name w:val="Normal"/>
    <w:next w:val="640"/>
    <w:link w:val="640"/>
    <w:qFormat/>
    <w:rPr>
      <w:rFonts w:ascii="Times New Roman" w:hAnsi="Times New Roman"/>
      <w:lang w:val="ru-RU" w:eastAsia="ru-RU" w:bidi="ar-SA"/>
    </w:rPr>
  </w:style>
  <w:style w:type="paragraph" w:styleId="641">
    <w:name w:val="Заголовок 1"/>
    <w:basedOn w:val="640"/>
    <w:next w:val="641"/>
    <w:link w:val="645"/>
    <w:qFormat/>
    <w:pPr>
      <w:spacing w:before="100" w:beforeAutospacing="1" w:after="100" w:afterAutospacing="1"/>
      <w:outlineLvl w:val="0"/>
    </w:pPr>
    <w:rPr>
      <w:b/>
      <w:bCs/>
      <w:sz w:val="48"/>
      <w:szCs w:val="48"/>
      <w:lang w:val="en-US"/>
    </w:rPr>
  </w:style>
  <w:style w:type="character" w:styleId="642">
    <w:name w:val="Основной шрифт абзаца"/>
    <w:next w:val="642"/>
    <w:link w:val="640"/>
    <w:semiHidden/>
  </w:style>
  <w:style w:type="table" w:styleId="643">
    <w:name w:val="Обычная таблица"/>
    <w:next w:val="643"/>
    <w:link w:val="640"/>
    <w:semiHidden/>
    <w:tblPr/>
  </w:style>
  <w:style w:type="numbering" w:styleId="644">
    <w:name w:val="Нет списка"/>
    <w:next w:val="644"/>
    <w:link w:val="640"/>
    <w:semiHidden/>
  </w:style>
  <w:style w:type="character" w:styleId="645">
    <w:name w:val="Заголовок 1 Знак"/>
    <w:next w:val="645"/>
    <w:link w:val="641"/>
    <w:rPr>
      <w:rFonts w:ascii="Times New Roman" w:hAnsi="Times New Roman" w:cs="Times New Roman"/>
      <w:b/>
      <w:bCs/>
      <w:sz w:val="48"/>
      <w:szCs w:val="48"/>
      <w:lang w:val="en-US" w:eastAsia="ru-RU"/>
    </w:rPr>
  </w:style>
  <w:style w:type="paragraph" w:styleId="646">
    <w:name w:val="Основной текст 3"/>
    <w:basedOn w:val="640"/>
    <w:next w:val="646"/>
    <w:link w:val="647"/>
    <w:pPr>
      <w:jc w:val="center"/>
      <w:shd w:val="clear" w:color="auto" w:fill="ffffff"/>
    </w:pPr>
    <w:rPr>
      <w:b/>
      <w:bCs/>
      <w:sz w:val="24"/>
      <w:szCs w:val="24"/>
      <w:lang w:val="en-US"/>
    </w:rPr>
  </w:style>
  <w:style w:type="character" w:styleId="647">
    <w:name w:val="Основной текст 3 Знак"/>
    <w:next w:val="647"/>
    <w:link w:val="646"/>
    <w:rPr>
      <w:rFonts w:ascii="Times New Roman" w:hAnsi="Times New Roman" w:cs="Times New Roman"/>
      <w:b/>
      <w:bCs/>
      <w:sz w:val="24"/>
      <w:szCs w:val="24"/>
      <w:shd w:val="clear" w:color="auto" w:fill="ffffff"/>
      <w:lang w:val="en-US" w:eastAsia="ru-RU"/>
    </w:rPr>
  </w:style>
  <w:style w:type="character" w:styleId="648">
    <w:name w:val="Выделение"/>
    <w:next w:val="648"/>
    <w:link w:val="640"/>
    <w:uiPriority w:val="20"/>
    <w:qFormat/>
    <w:rPr>
      <w:rFonts w:cs="Times New Roman"/>
      <w:i/>
      <w:iCs/>
    </w:rPr>
  </w:style>
  <w:style w:type="character" w:styleId="649">
    <w:name w:val="apple-converted-space"/>
    <w:next w:val="649"/>
    <w:link w:val="640"/>
    <w:rPr>
      <w:rFonts w:cs="Times New Roman"/>
    </w:rPr>
  </w:style>
  <w:style w:type="paragraph" w:styleId="650">
    <w:name w:val="ConsPlusNormal"/>
    <w:basedOn w:val="640"/>
    <w:next w:val="650"/>
    <w:link w:val="640"/>
    <w:qFormat/>
    <w:rPr>
      <w:rFonts w:ascii="Arial" w:hAnsi="Arial" w:eastAsia="Times New Roman" w:cs="Arial"/>
      <w:lang w:eastAsia="en-US"/>
    </w:rPr>
  </w:style>
  <w:style w:type="paragraph" w:styleId="651">
    <w:name w:val="Обычный (веб)"/>
    <w:basedOn w:val="640"/>
    <w:next w:val="651"/>
    <w:link w:val="640"/>
    <w:pPr>
      <w:spacing w:before="100" w:beforeAutospacing="1" w:after="100" w:afterAutospacing="1"/>
    </w:pPr>
    <w:rPr>
      <w:sz w:val="24"/>
      <w:szCs w:val="24"/>
    </w:rPr>
  </w:style>
  <w:style w:type="character" w:styleId="652">
    <w:name w:val="Строгий"/>
    <w:next w:val="652"/>
    <w:link w:val="640"/>
    <w:uiPriority w:val="22"/>
    <w:qFormat/>
    <w:rPr>
      <w:b/>
      <w:bCs/>
    </w:rPr>
  </w:style>
  <w:style w:type="paragraph" w:styleId="653">
    <w:name w:val="Верхний колонтитул"/>
    <w:basedOn w:val="640"/>
    <w:next w:val="653"/>
    <w:link w:val="65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54">
    <w:name w:val="Верхний колонтитул Знак"/>
    <w:next w:val="654"/>
    <w:link w:val="653"/>
    <w:uiPriority w:val="99"/>
    <w:rPr>
      <w:rFonts w:ascii="Times New Roman" w:hAnsi="Times New Roman"/>
    </w:rPr>
  </w:style>
  <w:style w:type="paragraph" w:styleId="655">
    <w:name w:val="Нижний колонтитул"/>
    <w:basedOn w:val="640"/>
    <w:next w:val="655"/>
    <w:link w:val="656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56">
    <w:name w:val="Нижний колонтитул Знак"/>
    <w:next w:val="656"/>
    <w:link w:val="655"/>
    <w:rPr>
      <w:rFonts w:ascii="Times New Roman" w:hAnsi="Times New Roman"/>
    </w:rPr>
  </w:style>
  <w:style w:type="paragraph" w:styleId="657">
    <w:name w:val="Текст выноски"/>
    <w:basedOn w:val="640"/>
    <w:next w:val="657"/>
    <w:link w:val="658"/>
    <w:rPr>
      <w:rFonts w:ascii="Tahoma" w:hAnsi="Tahoma"/>
      <w:sz w:val="16"/>
      <w:szCs w:val="16"/>
      <w:lang w:val="en-US" w:eastAsia="en-US"/>
    </w:rPr>
  </w:style>
  <w:style w:type="character" w:styleId="658">
    <w:name w:val="Текст выноски Знак"/>
    <w:next w:val="658"/>
    <w:link w:val="657"/>
    <w:rPr>
      <w:rFonts w:ascii="Tahoma" w:hAnsi="Tahoma" w:cs="Tahoma"/>
      <w:sz w:val="16"/>
      <w:szCs w:val="16"/>
    </w:rPr>
  </w:style>
  <w:style w:type="table" w:styleId="659">
    <w:name w:val="Сетка таблицы"/>
    <w:basedOn w:val="643"/>
    <w:next w:val="659"/>
    <w:link w:val="640"/>
    <w:tblPr/>
  </w:style>
  <w:style w:type="character" w:styleId="660">
    <w:name w:val="Гиперссылка"/>
    <w:next w:val="660"/>
    <w:link w:val="640"/>
    <w:rPr>
      <w:color w:val="0000ff"/>
      <w:u w:val="single"/>
    </w:rPr>
  </w:style>
  <w:style w:type="character" w:styleId="661">
    <w:name w:val="Просмотренная гиперссылка"/>
    <w:next w:val="661"/>
    <w:link w:val="640"/>
    <w:rPr>
      <w:color w:val="954f72"/>
      <w:u w:val="single"/>
    </w:rPr>
  </w:style>
  <w:style w:type="character" w:styleId="662">
    <w:name w:val="Знак примечания"/>
    <w:next w:val="662"/>
    <w:link w:val="640"/>
    <w:rPr>
      <w:sz w:val="16"/>
      <w:szCs w:val="16"/>
    </w:rPr>
  </w:style>
  <w:style w:type="paragraph" w:styleId="663">
    <w:name w:val="Текст примечания"/>
    <w:basedOn w:val="640"/>
    <w:next w:val="663"/>
    <w:link w:val="664"/>
    <w:rPr>
      <w:lang w:val="en-US" w:eastAsia="en-US"/>
    </w:rPr>
  </w:style>
  <w:style w:type="character" w:styleId="664">
    <w:name w:val="Текст примечания Знак"/>
    <w:next w:val="664"/>
    <w:link w:val="663"/>
    <w:rPr>
      <w:rFonts w:ascii="Times New Roman" w:hAnsi="Times New Roman"/>
    </w:rPr>
  </w:style>
  <w:style w:type="paragraph" w:styleId="665">
    <w:name w:val="Тема примечания"/>
    <w:basedOn w:val="663"/>
    <w:next w:val="663"/>
    <w:link w:val="666"/>
    <w:rPr>
      <w:b/>
      <w:bCs/>
      <w:lang w:val="en-US" w:eastAsia="en-US"/>
    </w:rPr>
  </w:style>
  <w:style w:type="character" w:styleId="666">
    <w:name w:val="Тема примечания Знак"/>
    <w:next w:val="666"/>
    <w:link w:val="665"/>
    <w:rPr>
      <w:rFonts w:ascii="Times New Roman" w:hAnsi="Times New Roman"/>
      <w:b/>
      <w:bCs/>
    </w:rPr>
  </w:style>
  <w:style w:type="paragraph" w:styleId="667">
    <w:name w:val="Текст сноски"/>
    <w:basedOn w:val="640"/>
    <w:next w:val="667"/>
    <w:link w:val="668"/>
    <w:rPr>
      <w:lang w:val="en-US" w:eastAsia="en-US"/>
    </w:rPr>
  </w:style>
  <w:style w:type="character" w:styleId="668">
    <w:name w:val="Текст сноски Знак"/>
    <w:next w:val="668"/>
    <w:link w:val="667"/>
    <w:rPr>
      <w:rFonts w:ascii="Times New Roman" w:hAnsi="Times New Roman"/>
    </w:rPr>
  </w:style>
  <w:style w:type="character" w:styleId="669">
    <w:name w:val="Знак сноски"/>
    <w:next w:val="669"/>
    <w:link w:val="640"/>
    <w:rPr>
      <w:vertAlign w:val="superscript"/>
    </w:rPr>
  </w:style>
  <w:style w:type="character" w:styleId="670">
    <w:name w:val="Font Style77"/>
    <w:next w:val="670"/>
    <w:link w:val="640"/>
    <w:uiPriority w:val="99"/>
    <w:rPr>
      <w:rFonts w:ascii="Times New Roman" w:hAnsi="Times New Roman" w:cs="Times New Roman"/>
      <w:color w:val="000000"/>
      <w:sz w:val="22"/>
      <w:szCs w:val="22"/>
    </w:rPr>
  </w:style>
  <w:style w:type="paragraph" w:styleId="671">
    <w:name w:val="ConsPlusCell"/>
    <w:next w:val="671"/>
    <w:link w:val="640"/>
    <w:uiPriority w:val="99"/>
    <w:rPr>
      <w:rFonts w:ascii="Times New Roman" w:hAnsi="Times New Roman" w:eastAsia="Times New Roman"/>
      <w:sz w:val="28"/>
      <w:szCs w:val="28"/>
      <w:lang w:val="ru-RU" w:eastAsia="ru-RU" w:bidi="ar-SA"/>
    </w:rPr>
  </w:style>
  <w:style w:type="character" w:styleId="978" w:default="1">
    <w:name w:val="Default Paragraph Font"/>
    <w:uiPriority w:val="1"/>
    <w:semiHidden/>
    <w:unhideWhenUsed/>
  </w:style>
  <w:style w:type="numbering" w:styleId="979" w:default="1">
    <w:name w:val="No List"/>
    <w:uiPriority w:val="99"/>
    <w:semiHidden/>
    <w:unhideWhenUsed/>
  </w:style>
  <w:style w:type="table" w:styleId="9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mineconom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</dc:title>
  <dc:creator>volpn</dc:creator>
  <cp:revision>26</cp:revision>
  <dcterms:created xsi:type="dcterms:W3CDTF">2022-06-17T08:15:00Z</dcterms:created>
  <dcterms:modified xsi:type="dcterms:W3CDTF">2023-07-05T05:55:37Z</dcterms:modified>
  <cp:version>1048576</cp:version>
</cp:coreProperties>
</file>