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8AF" w:rsidRPr="00360105" w:rsidRDefault="000503CF" w:rsidP="008D08AF">
      <w:pPr>
        <w:pStyle w:val="ConsPlusNormal"/>
        <w:ind w:left="1062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Приложение</w:t>
      </w:r>
    </w:p>
    <w:p w:rsidR="008D08AF" w:rsidRPr="00360105" w:rsidRDefault="004D37FD" w:rsidP="008D08AF">
      <w:pPr>
        <w:pStyle w:val="ConsPlusNormal"/>
        <w:ind w:left="10620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к приказу</w:t>
      </w:r>
      <w:r w:rsidR="008D08AF" w:rsidRPr="00360105">
        <w:rPr>
          <w:rFonts w:ascii="Times New Roman" w:hAnsi="Times New Roman" w:cs="Times New Roman"/>
          <w:sz w:val="28"/>
          <w:szCs w:val="28"/>
        </w:rPr>
        <w:t xml:space="preserve"> министерства жилищно-</w:t>
      </w:r>
    </w:p>
    <w:p w:rsidR="008D08AF" w:rsidRPr="00360105" w:rsidRDefault="008D08AF" w:rsidP="008D08AF">
      <w:pPr>
        <w:pStyle w:val="ConsPlusNormal"/>
        <w:ind w:left="9912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 xml:space="preserve">  коммунального хозяйства и энергетики</w:t>
      </w:r>
    </w:p>
    <w:p w:rsidR="00EF7ADA" w:rsidRPr="00360105" w:rsidRDefault="008D08AF" w:rsidP="008D08AF">
      <w:pPr>
        <w:pStyle w:val="ConsPlusNormal"/>
        <w:ind w:left="1062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722917" w:rsidRPr="00360105">
        <w:rPr>
          <w:rFonts w:ascii="Times New Roman" w:hAnsi="Times New Roman" w:cs="Times New Roman"/>
          <w:sz w:val="28"/>
          <w:szCs w:val="28"/>
        </w:rPr>
        <w:t xml:space="preserve"> № _____</w:t>
      </w:r>
    </w:p>
    <w:p w:rsidR="008D08AF" w:rsidRPr="00360105" w:rsidRDefault="00722917" w:rsidP="008D08AF">
      <w:pPr>
        <w:pStyle w:val="ConsPlusNormal"/>
        <w:ind w:left="1062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«      »                    2019</w:t>
      </w:r>
    </w:p>
    <w:p w:rsidR="000503CF" w:rsidRPr="00360105" w:rsidRDefault="000503CF" w:rsidP="008D08AF">
      <w:pPr>
        <w:pStyle w:val="ConsPlusNormal"/>
        <w:ind w:left="1062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503CF" w:rsidRPr="00360105" w:rsidRDefault="000503CF" w:rsidP="008D08AF">
      <w:pPr>
        <w:pStyle w:val="ConsPlusNormal"/>
        <w:ind w:left="1062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6785D" w:rsidRPr="00360105" w:rsidRDefault="0036785D" w:rsidP="000503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ПЛАН РЕАЛИЗАЦИИ МЕРОПРИЯТИЙ</w:t>
      </w:r>
    </w:p>
    <w:p w:rsidR="008D08AF" w:rsidRPr="00360105" w:rsidRDefault="000503CF" w:rsidP="000503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 «Развитие системы обращения с отходами производства и потребления в Новосибир</w:t>
      </w:r>
      <w:r w:rsidR="002E6C41" w:rsidRPr="00360105">
        <w:rPr>
          <w:rFonts w:ascii="Times New Roman" w:hAnsi="Times New Roman" w:cs="Times New Roman"/>
          <w:sz w:val="28"/>
          <w:szCs w:val="28"/>
        </w:rPr>
        <w:t>ской области</w:t>
      </w:r>
      <w:r w:rsidRPr="00360105">
        <w:rPr>
          <w:rFonts w:ascii="Times New Roman" w:hAnsi="Times New Roman" w:cs="Times New Roman"/>
          <w:sz w:val="28"/>
          <w:szCs w:val="28"/>
        </w:rPr>
        <w:t>» на</w:t>
      </w:r>
      <w:r w:rsidR="00722917" w:rsidRPr="00360105">
        <w:rPr>
          <w:rFonts w:ascii="Times New Roman" w:hAnsi="Times New Roman" w:cs="Times New Roman"/>
          <w:sz w:val="28"/>
          <w:szCs w:val="28"/>
        </w:rPr>
        <w:t xml:space="preserve"> </w:t>
      </w:r>
      <w:r w:rsidR="00AE39CE" w:rsidRPr="00360105">
        <w:rPr>
          <w:rFonts w:ascii="Times New Roman" w:hAnsi="Times New Roman" w:cs="Times New Roman"/>
          <w:sz w:val="28"/>
          <w:szCs w:val="28"/>
        </w:rPr>
        <w:t xml:space="preserve">очередной </w:t>
      </w:r>
      <w:r w:rsidR="00722917" w:rsidRPr="00360105">
        <w:rPr>
          <w:rFonts w:ascii="Times New Roman" w:hAnsi="Times New Roman" w:cs="Times New Roman"/>
          <w:sz w:val="28"/>
          <w:szCs w:val="28"/>
        </w:rPr>
        <w:t>2019 год и плановый период 2020 и 2021</w:t>
      </w:r>
      <w:r w:rsidRPr="00360105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36785D" w:rsidRPr="00360105" w:rsidRDefault="0036785D" w:rsidP="003678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(на основании госуда</w:t>
      </w:r>
      <w:r w:rsidR="00722917" w:rsidRPr="00360105">
        <w:rPr>
          <w:rFonts w:ascii="Times New Roman" w:hAnsi="Times New Roman" w:cs="Times New Roman"/>
          <w:sz w:val="28"/>
          <w:szCs w:val="28"/>
        </w:rPr>
        <w:t>рственной программы в редакции п</w:t>
      </w:r>
      <w:r w:rsidRPr="00360105">
        <w:rPr>
          <w:rFonts w:ascii="Times New Roman" w:hAnsi="Times New Roman" w:cs="Times New Roman"/>
          <w:sz w:val="28"/>
          <w:szCs w:val="28"/>
        </w:rPr>
        <w:t>остановления Правительства Новосибирской области</w:t>
      </w:r>
    </w:p>
    <w:p w:rsidR="0036785D" w:rsidRPr="00360105" w:rsidRDefault="0036785D" w:rsidP="003678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 xml:space="preserve"> от ______№_______)</w:t>
      </w:r>
    </w:p>
    <w:p w:rsidR="000503CF" w:rsidRPr="00360105" w:rsidRDefault="0036785D" w:rsidP="003678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Таблица № 1</w:t>
      </w:r>
    </w:p>
    <w:p w:rsidR="00171779" w:rsidRPr="00360105" w:rsidRDefault="00171779" w:rsidP="0036785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323CD" w:rsidRPr="00360105" w:rsidRDefault="00842693" w:rsidP="008323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Целевые индик</w:t>
      </w:r>
      <w:r w:rsidR="008323CD" w:rsidRPr="00360105">
        <w:rPr>
          <w:rFonts w:ascii="Times New Roman" w:hAnsi="Times New Roman" w:cs="Times New Roman"/>
          <w:sz w:val="28"/>
          <w:szCs w:val="28"/>
        </w:rPr>
        <w:t xml:space="preserve">аторы </w:t>
      </w:r>
      <w:r w:rsidRPr="00360105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  <w:r w:rsidR="00F6119A" w:rsidRPr="003601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EA0" w:rsidRPr="00360105" w:rsidRDefault="00F6119A" w:rsidP="008323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«Развитие систем</w:t>
      </w:r>
      <w:r w:rsidR="00946811" w:rsidRPr="00360105">
        <w:rPr>
          <w:rFonts w:ascii="Times New Roman" w:hAnsi="Times New Roman" w:cs="Times New Roman"/>
          <w:sz w:val="28"/>
          <w:szCs w:val="28"/>
        </w:rPr>
        <w:t>ы</w:t>
      </w:r>
      <w:r w:rsidRPr="00360105">
        <w:rPr>
          <w:rFonts w:ascii="Times New Roman" w:hAnsi="Times New Roman" w:cs="Times New Roman"/>
          <w:sz w:val="28"/>
          <w:szCs w:val="28"/>
        </w:rPr>
        <w:t xml:space="preserve"> обращения с отхо</w:t>
      </w:r>
      <w:r w:rsidR="00604EA0" w:rsidRPr="00360105">
        <w:rPr>
          <w:rFonts w:ascii="Times New Roman" w:hAnsi="Times New Roman" w:cs="Times New Roman"/>
          <w:sz w:val="28"/>
          <w:szCs w:val="28"/>
        </w:rPr>
        <w:t xml:space="preserve">дами производства и потребления </w:t>
      </w:r>
      <w:r w:rsidRPr="00360105">
        <w:rPr>
          <w:rFonts w:ascii="Times New Roman" w:hAnsi="Times New Roman" w:cs="Times New Roman"/>
          <w:sz w:val="28"/>
          <w:szCs w:val="28"/>
        </w:rPr>
        <w:t>в Новосибир</w:t>
      </w:r>
      <w:r w:rsidR="002E6C41" w:rsidRPr="00360105">
        <w:rPr>
          <w:rFonts w:ascii="Times New Roman" w:hAnsi="Times New Roman" w:cs="Times New Roman"/>
          <w:sz w:val="28"/>
          <w:szCs w:val="28"/>
        </w:rPr>
        <w:t>ской области</w:t>
      </w:r>
      <w:r w:rsidRPr="00360105">
        <w:rPr>
          <w:rFonts w:ascii="Times New Roman" w:hAnsi="Times New Roman" w:cs="Times New Roman"/>
          <w:sz w:val="28"/>
          <w:szCs w:val="28"/>
        </w:rPr>
        <w:t>»</w:t>
      </w:r>
      <w:r w:rsidR="00C93324" w:rsidRPr="003601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693" w:rsidRPr="00360105" w:rsidRDefault="00842693" w:rsidP="00604E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 w:rsidR="002E6C41" w:rsidRPr="00360105">
        <w:rPr>
          <w:rFonts w:ascii="Times New Roman" w:hAnsi="Times New Roman" w:cs="Times New Roman"/>
          <w:sz w:val="28"/>
          <w:szCs w:val="28"/>
        </w:rPr>
        <w:t>2019</w:t>
      </w:r>
      <w:r w:rsidR="00F6119A" w:rsidRPr="00360105">
        <w:rPr>
          <w:rFonts w:ascii="Times New Roman" w:hAnsi="Times New Roman" w:cs="Times New Roman"/>
          <w:sz w:val="28"/>
          <w:szCs w:val="28"/>
        </w:rPr>
        <w:t xml:space="preserve"> </w:t>
      </w:r>
      <w:r w:rsidRPr="00360105">
        <w:rPr>
          <w:rFonts w:ascii="Times New Roman" w:hAnsi="Times New Roman" w:cs="Times New Roman"/>
          <w:sz w:val="28"/>
          <w:szCs w:val="28"/>
        </w:rPr>
        <w:t>год</w:t>
      </w:r>
      <w:r w:rsidR="002E6C41" w:rsidRPr="00360105">
        <w:rPr>
          <w:rFonts w:ascii="Times New Roman" w:hAnsi="Times New Roman" w:cs="Times New Roman"/>
          <w:sz w:val="28"/>
          <w:szCs w:val="28"/>
        </w:rPr>
        <w:t xml:space="preserve"> и плановый период 2020</w:t>
      </w:r>
      <w:r w:rsidR="00D63857" w:rsidRPr="00360105">
        <w:rPr>
          <w:rFonts w:ascii="Times New Roman" w:hAnsi="Times New Roman" w:cs="Times New Roman"/>
          <w:sz w:val="28"/>
          <w:szCs w:val="28"/>
        </w:rPr>
        <w:t xml:space="preserve"> и 202</w:t>
      </w:r>
      <w:r w:rsidR="002E6C41" w:rsidRPr="00360105">
        <w:rPr>
          <w:rFonts w:ascii="Times New Roman" w:hAnsi="Times New Roman" w:cs="Times New Roman"/>
          <w:sz w:val="28"/>
          <w:szCs w:val="28"/>
        </w:rPr>
        <w:t>1</w:t>
      </w:r>
      <w:r w:rsidRPr="00360105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842693" w:rsidRPr="00360105" w:rsidRDefault="00842693" w:rsidP="0084269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14540" w:rsidRPr="00360105" w:rsidRDefault="00F14540" w:rsidP="0084269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8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8"/>
        <w:gridCol w:w="2090"/>
        <w:gridCol w:w="12"/>
        <w:gridCol w:w="1159"/>
        <w:gridCol w:w="988"/>
        <w:gridCol w:w="784"/>
        <w:gridCol w:w="720"/>
        <w:gridCol w:w="784"/>
        <w:gridCol w:w="784"/>
        <w:gridCol w:w="755"/>
        <w:gridCol w:w="693"/>
        <w:gridCol w:w="784"/>
        <w:gridCol w:w="1925"/>
      </w:tblGrid>
      <w:tr w:rsidR="00F14540" w:rsidRPr="00360105" w:rsidTr="00901BCB">
        <w:trPr>
          <w:tblCellSpacing w:w="5" w:type="nil"/>
        </w:trPr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Цель/задачи, требующие решения для достижения цели</w:t>
            </w:r>
          </w:p>
        </w:tc>
        <w:tc>
          <w:tcPr>
            <w:tcW w:w="2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Наименование целевого индикатора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Значение весового коэффициента целевого индикатора</w:t>
            </w:r>
          </w:p>
        </w:tc>
        <w:tc>
          <w:tcPr>
            <w:tcW w:w="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Значение целевого индикатора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F14540" w:rsidRPr="00360105" w:rsidTr="00901BCB">
        <w:trPr>
          <w:trHeight w:val="333"/>
          <w:tblCellSpacing w:w="5" w:type="nil"/>
        </w:trPr>
        <w:tc>
          <w:tcPr>
            <w:tcW w:w="4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На очередной финансовый</w:t>
            </w:r>
          </w:p>
          <w:p w:rsidR="00F14540" w:rsidRPr="00360105" w:rsidRDefault="002E6C41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2019</w:t>
            </w:r>
            <w:r w:rsidR="00F14540" w:rsidRPr="0036010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0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2E6C41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на 2019</w:t>
            </w:r>
            <w:r w:rsidR="00F14540" w:rsidRPr="00360105">
              <w:rPr>
                <w:rFonts w:ascii="Times New Roman" w:hAnsi="Times New Roman" w:cs="Times New Roman"/>
              </w:rPr>
              <w:t>год,</w:t>
            </w:r>
          </w:p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 в том числе поквартально</w:t>
            </w:r>
          </w:p>
        </w:tc>
        <w:tc>
          <w:tcPr>
            <w:tcW w:w="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20</w:t>
            </w:r>
            <w:r w:rsidR="002E6C41" w:rsidRPr="00360105">
              <w:rPr>
                <w:rFonts w:ascii="Times New Roman" w:hAnsi="Times New Roman" w:cs="Times New Roman"/>
              </w:rPr>
              <w:t>20</w:t>
            </w:r>
            <w:r w:rsidRPr="0036010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540" w:rsidRPr="00360105" w:rsidRDefault="002E6C41" w:rsidP="00901BCB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60105">
              <w:rPr>
                <w:rFonts w:ascii="Times New Roman" w:hAnsi="Times New Roman" w:cs="Times New Roman"/>
                <w:sz w:val="19"/>
                <w:szCs w:val="19"/>
              </w:rPr>
              <w:t>2021</w:t>
            </w:r>
            <w:r w:rsidR="00F14540" w:rsidRPr="0036010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F14540" w:rsidRPr="0036010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14540" w:rsidRPr="00360105" w:rsidTr="00901BCB">
        <w:trPr>
          <w:trHeight w:val="1224"/>
          <w:tblCellSpacing w:w="5" w:type="nil"/>
        </w:trPr>
        <w:tc>
          <w:tcPr>
            <w:tcW w:w="4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14540" w:rsidRPr="00360105" w:rsidTr="00901BCB">
        <w:trPr>
          <w:tblCellSpacing w:w="5" w:type="nil"/>
        </w:trPr>
        <w:tc>
          <w:tcPr>
            <w:tcW w:w="4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12</w:t>
            </w:r>
          </w:p>
        </w:tc>
      </w:tr>
      <w:tr w:rsidR="00F14540" w:rsidRPr="00360105" w:rsidTr="00901BCB">
        <w:trPr>
          <w:tblCellSpacing w:w="5" w:type="nil"/>
        </w:trPr>
        <w:tc>
          <w:tcPr>
            <w:tcW w:w="1587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2E6C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государственная программа Новосибирской области «Развитие системы обращения с отхо</w:t>
            </w:r>
            <w:r w:rsidR="002E6C41" w:rsidRPr="00360105">
              <w:rPr>
                <w:rFonts w:ascii="Times New Roman" w:hAnsi="Times New Roman" w:cs="Times New Roman"/>
              </w:rPr>
              <w:t xml:space="preserve">дами производства и потребления </w:t>
            </w:r>
            <w:r w:rsidRPr="00360105">
              <w:rPr>
                <w:rFonts w:ascii="Times New Roman" w:hAnsi="Times New Roman" w:cs="Times New Roman"/>
              </w:rPr>
              <w:t>в Новосибир</w:t>
            </w:r>
            <w:r w:rsidR="002E6C41" w:rsidRPr="00360105">
              <w:rPr>
                <w:rFonts w:ascii="Times New Roman" w:hAnsi="Times New Roman" w:cs="Times New Roman"/>
              </w:rPr>
              <w:t>ской области</w:t>
            </w:r>
            <w:r w:rsidRPr="00360105">
              <w:rPr>
                <w:rFonts w:ascii="Times New Roman" w:hAnsi="Times New Roman" w:cs="Times New Roman"/>
              </w:rPr>
              <w:t>»</w:t>
            </w:r>
          </w:p>
        </w:tc>
      </w:tr>
      <w:tr w:rsidR="00F14540" w:rsidRPr="00360105" w:rsidTr="00901BCB">
        <w:trPr>
          <w:trHeight w:val="2060"/>
          <w:tblCellSpacing w:w="5" w:type="nil"/>
        </w:trPr>
        <w:tc>
          <w:tcPr>
            <w:tcW w:w="4398" w:type="dxa"/>
            <w:tcBorders>
              <w:left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lastRenderedPageBreak/>
              <w:t>Цель: совершенствование системы обращения с отходами производства и потребления в городских округах и муниципальных районах Новосибирской области, направленное на снижение негативного воздействия отходов производства и потребления на окружающую среду</w:t>
            </w:r>
          </w:p>
        </w:tc>
        <w:tc>
          <w:tcPr>
            <w:tcW w:w="21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4540" w:rsidRPr="00360105" w:rsidRDefault="00EA052E" w:rsidP="00901BCB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1. </w:t>
            </w:r>
            <w:r w:rsidR="00F14540" w:rsidRPr="00360105">
              <w:rPr>
                <w:rFonts w:ascii="Times New Roman" w:hAnsi="Times New Roman" w:cs="Times New Roman"/>
              </w:rPr>
              <w:t xml:space="preserve">Доля обезвреживаемых, используемых отходов от объема отходов, образованных в Новосибирской области </w:t>
            </w:r>
          </w:p>
          <w:p w:rsidR="00F14540" w:rsidRPr="00360105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4540" w:rsidRPr="00360105" w:rsidRDefault="00F624CA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6</w:t>
            </w:r>
            <w:r w:rsidR="00D20FA1" w:rsidRPr="003601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4540" w:rsidRPr="00360105" w:rsidRDefault="00D20FA1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4540" w:rsidRPr="00360105" w:rsidRDefault="00D20FA1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9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Информация формируется в 1 квартале года, следующего за отчетным</w:t>
            </w:r>
          </w:p>
        </w:tc>
      </w:tr>
      <w:tr w:rsidR="00F14540" w:rsidRPr="00360105" w:rsidTr="00901BCB">
        <w:trPr>
          <w:trHeight w:val="460"/>
          <w:tblCellSpacing w:w="5" w:type="nil"/>
        </w:trPr>
        <w:tc>
          <w:tcPr>
            <w:tcW w:w="4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540" w:rsidRPr="00360105" w:rsidTr="00901BCB">
        <w:trPr>
          <w:trHeight w:val="2300"/>
          <w:tblCellSpacing w:w="5" w:type="nil"/>
        </w:trPr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EA052E" w:rsidP="00901BCB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2. </w:t>
            </w:r>
            <w:r w:rsidR="00F14540" w:rsidRPr="00360105">
              <w:rPr>
                <w:rFonts w:ascii="Times New Roman" w:hAnsi="Times New Roman" w:cs="Times New Roman"/>
              </w:rPr>
              <w:t>Доля отходов, направляемых на захоронение, в общем объеме образованных отходов в Новосибирской области (ежегодно)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624CA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3</w:t>
            </w:r>
            <w:r w:rsidR="00D20FA1" w:rsidRPr="003601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D20FA1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D20FA1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Информация формируется в 1 квартале года следующего за отчетным</w:t>
            </w:r>
          </w:p>
        </w:tc>
      </w:tr>
      <w:tr w:rsidR="00F14540" w:rsidRPr="00360105" w:rsidTr="000B66F8">
        <w:trPr>
          <w:trHeight w:val="2300"/>
          <w:tblCellSpacing w:w="5" w:type="nil"/>
        </w:trPr>
        <w:tc>
          <w:tcPr>
            <w:tcW w:w="4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40" w:rsidRPr="00360105" w:rsidRDefault="00EA052E" w:rsidP="00901BCB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3. </w:t>
            </w:r>
            <w:r w:rsidR="00272A4A" w:rsidRPr="00360105">
              <w:rPr>
                <w:rFonts w:ascii="Times New Roman" w:hAnsi="Times New Roman" w:cs="Times New Roman"/>
              </w:rPr>
              <w:t>Доля твердых коммунальных отходов, направляемых на захоронение, в общем объеме образованных твердых коммунальных отходов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D20FA1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D20FA1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D20FA1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Информация формируется в 1 квартале года следующего за отчетным</w:t>
            </w:r>
          </w:p>
        </w:tc>
      </w:tr>
      <w:tr w:rsidR="00D20FA1" w:rsidRPr="00360105" w:rsidTr="000B66F8">
        <w:trPr>
          <w:trHeight w:val="2300"/>
          <w:tblCellSpacing w:w="5" w:type="nil"/>
        </w:trPr>
        <w:tc>
          <w:tcPr>
            <w:tcW w:w="4398" w:type="dxa"/>
            <w:tcBorders>
              <w:left w:val="single" w:sz="4" w:space="0" w:color="auto"/>
              <w:right w:val="single" w:sz="4" w:space="0" w:color="auto"/>
            </w:tcBorders>
          </w:tcPr>
          <w:p w:rsidR="00D20FA1" w:rsidRPr="00360105" w:rsidRDefault="00D20FA1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A1" w:rsidRPr="00360105" w:rsidRDefault="00D20FA1" w:rsidP="00901BCB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3.1</w:t>
            </w:r>
            <w:r w:rsidRPr="00360105">
              <w:t xml:space="preserve"> </w:t>
            </w:r>
            <w:r w:rsidRPr="00360105">
              <w:rPr>
                <w:rFonts w:ascii="Times New Roman" w:hAnsi="Times New Roman" w:cs="Times New Roman"/>
              </w:rPr>
              <w:t xml:space="preserve">Доля твердых коммунальных отходов, направленных на обработку, в общем объеме образованных твердых коммунальных отходов (нарастающим </w:t>
            </w:r>
            <w:r w:rsidRPr="00360105">
              <w:rPr>
                <w:rFonts w:ascii="Times New Roman" w:hAnsi="Times New Roman" w:cs="Times New Roman"/>
              </w:rPr>
              <w:lastRenderedPageBreak/>
              <w:t>итогом)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A1" w:rsidRPr="00360105" w:rsidRDefault="00D20FA1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A1" w:rsidRPr="00360105" w:rsidRDefault="00D20FA1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A1" w:rsidRPr="00360105" w:rsidRDefault="00D20FA1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A1" w:rsidRPr="00360105" w:rsidRDefault="007559FB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A1" w:rsidRPr="00360105" w:rsidRDefault="007559FB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A1" w:rsidRPr="00360105" w:rsidRDefault="007559FB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A1" w:rsidRPr="00360105" w:rsidRDefault="00D20FA1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A1" w:rsidRPr="00360105" w:rsidRDefault="00D20FA1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11,5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A1" w:rsidRPr="00360105" w:rsidRDefault="00D20FA1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26,6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A1" w:rsidRPr="00360105" w:rsidRDefault="00D20FA1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Целевой индикатор введен с 2019 года. На 2018 год приведено базовое значение</w:t>
            </w:r>
          </w:p>
        </w:tc>
      </w:tr>
      <w:tr w:rsidR="00F14540" w:rsidRPr="00360105" w:rsidTr="00901BCB">
        <w:trPr>
          <w:trHeight w:val="2300"/>
          <w:tblCellSpacing w:w="5" w:type="nil"/>
        </w:trPr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F14540" w:rsidRPr="00360105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Задача 1. </w:t>
            </w:r>
          </w:p>
          <w:p w:rsidR="00F14540" w:rsidRPr="00360105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Внедрение глубокой обработки твердых коммунальных отходов, образующихся в городе Новосибирске и Новосибирской агломерации Новосибирской области 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EA052E" w:rsidP="00901BCB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4. </w:t>
            </w:r>
            <w:r w:rsidR="00F14540" w:rsidRPr="00360105">
              <w:rPr>
                <w:rFonts w:ascii="Times New Roman" w:hAnsi="Times New Roman" w:cs="Times New Roman"/>
              </w:rPr>
              <w:t>Количество мусорообрабатывающих предприятий, созданных в результате реализации пилотного проекта для города Новосибирска и Новосибирской агломерации Новосибирской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D20FA1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D20FA1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540" w:rsidRPr="00360105" w:rsidTr="00901BCB">
        <w:trPr>
          <w:trHeight w:val="1894"/>
          <w:tblCellSpacing w:w="5" w:type="nil"/>
        </w:trPr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40" w:rsidRPr="00360105" w:rsidRDefault="0070328C" w:rsidP="00901BCB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П1</w:t>
            </w:r>
            <w:r w:rsidR="00624EC1" w:rsidRPr="00360105">
              <w:rPr>
                <w:rFonts w:ascii="Times New Roman" w:hAnsi="Times New Roman" w:cs="Times New Roman"/>
              </w:rPr>
              <w:t>. </w:t>
            </w:r>
            <w:r w:rsidR="00F14540" w:rsidRPr="00360105">
              <w:rPr>
                <w:rFonts w:ascii="Times New Roman" w:hAnsi="Times New Roman" w:cs="Times New Roman"/>
              </w:rPr>
              <w:t>Количество строящихся мусорообрабатывающих предприятий в рамках реализации пилотного проекта для города Новосибирска и Новосибирской агломерации Новосибирской области</w:t>
            </w:r>
            <w:r w:rsidR="00F14540" w:rsidRPr="00360105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40" w:rsidRPr="00360105" w:rsidRDefault="00302EBF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40" w:rsidRPr="00360105" w:rsidRDefault="00302EBF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40" w:rsidRPr="00360105" w:rsidRDefault="00302EBF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40" w:rsidRPr="00360105" w:rsidRDefault="00D20FA1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540" w:rsidRPr="00360105" w:rsidRDefault="00F14540" w:rsidP="00901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14540" w:rsidRPr="00360105" w:rsidTr="00901BCB">
        <w:trPr>
          <w:trHeight w:val="1998"/>
          <w:tblCellSpacing w:w="5" w:type="nil"/>
        </w:trPr>
        <w:tc>
          <w:tcPr>
            <w:tcW w:w="4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150BF7" w:rsidP="00901BCB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5. </w:t>
            </w:r>
            <w:r w:rsidR="00F14540" w:rsidRPr="00360105">
              <w:rPr>
                <w:rFonts w:ascii="Times New Roman" w:hAnsi="Times New Roman" w:cs="Times New Roman"/>
              </w:rPr>
              <w:t>Потенциально возможная мощность мусорообрабатывающих предприятий, созданных в результате реализации пилотного проекта для города Новосибирска и Новосибирской агломерации Новосибирской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тыс. тонн отходов/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jc w:val="center"/>
            </w:pPr>
            <w:r w:rsidRPr="00360105"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jc w:val="center"/>
            </w:pPr>
            <w:r w:rsidRPr="00360105"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jc w:val="center"/>
            </w:pPr>
            <w:r w:rsidRPr="00360105"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D20FA1" w:rsidP="00901BCB">
            <w:pPr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D20FA1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F14540" w:rsidRPr="00360105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autoSpaceDE w:val="0"/>
              <w:autoSpaceDN w:val="0"/>
              <w:adjustRightInd w:val="0"/>
              <w:jc w:val="both"/>
            </w:pPr>
          </w:p>
        </w:tc>
      </w:tr>
      <w:tr w:rsidR="00F14540" w:rsidRPr="00360105" w:rsidTr="00901BCB">
        <w:trPr>
          <w:tblCellSpacing w:w="5" w:type="nil"/>
        </w:trPr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Задача 2. </w:t>
            </w:r>
          </w:p>
          <w:p w:rsidR="00F14540" w:rsidRPr="00360105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Совершенствование системы управления в сфере обращения с отходами (сбор, накопление, транспортирование, обработка,  утилизация, обезвреживание и размещение), образующимися в Новосибирской области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150BF7" w:rsidP="00901BCB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6. </w:t>
            </w:r>
            <w:r w:rsidR="00F14540" w:rsidRPr="00360105">
              <w:rPr>
                <w:rFonts w:ascii="Times New Roman" w:hAnsi="Times New Roman" w:cs="Times New Roman"/>
              </w:rPr>
              <w:t xml:space="preserve">Доля организаций в сфере обращения с отходами, деятельность которых в единой системе регулируется региональным оператором по обращению с твердыми коммунальными (ТКО)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4329D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540" w:rsidRPr="00360105" w:rsidTr="00901BCB">
        <w:trPr>
          <w:tblCellSpacing w:w="5" w:type="nil"/>
        </w:trPr>
        <w:tc>
          <w:tcPr>
            <w:tcW w:w="4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D93ED3" w:rsidP="00901BCB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П4</w:t>
            </w:r>
            <w:r w:rsidR="00F369DF" w:rsidRPr="00360105">
              <w:rPr>
                <w:rFonts w:ascii="Times New Roman" w:hAnsi="Times New Roman" w:cs="Times New Roman"/>
              </w:rPr>
              <w:t>. </w:t>
            </w:r>
            <w:r w:rsidR="00F14540" w:rsidRPr="00360105">
              <w:rPr>
                <w:rFonts w:ascii="Times New Roman" w:hAnsi="Times New Roman" w:cs="Times New Roman"/>
              </w:rPr>
              <w:t>Наличие регионального оператора по обращению с твердыми коммунальными отходами</w:t>
            </w:r>
            <w:r w:rsidR="00F14540" w:rsidRPr="00360105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4329D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9866BF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540" w:rsidRPr="00360105" w:rsidTr="00901BCB">
        <w:trPr>
          <w:tblCellSpacing w:w="5" w:type="nil"/>
        </w:trPr>
        <w:tc>
          <w:tcPr>
            <w:tcW w:w="4398" w:type="dxa"/>
            <w:tcBorders>
              <w:left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D93ED3" w:rsidP="00901BCB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П5</w:t>
            </w:r>
            <w:r w:rsidR="00F369DF" w:rsidRPr="00360105">
              <w:rPr>
                <w:rFonts w:ascii="Times New Roman" w:hAnsi="Times New Roman" w:cs="Times New Roman"/>
              </w:rPr>
              <w:t>. </w:t>
            </w:r>
            <w:r w:rsidR="00F14540" w:rsidRPr="00360105">
              <w:rPr>
                <w:rFonts w:ascii="Times New Roman" w:hAnsi="Times New Roman" w:cs="Times New Roman"/>
              </w:rPr>
              <w:t>Наличие актуализированной территориальной схемы обращения с отходами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5B483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7CB" w:rsidRPr="00360105" w:rsidTr="00901BCB">
        <w:trPr>
          <w:tblCellSpacing w:w="5" w:type="nil"/>
        </w:trPr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7CB" w:rsidRPr="00360105" w:rsidRDefault="004967CB" w:rsidP="00901BCB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Задача 3.</w:t>
            </w:r>
          </w:p>
          <w:p w:rsidR="004967CB" w:rsidRPr="00360105" w:rsidRDefault="004967CB" w:rsidP="00901BCB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Создание условий для легитимного размещения твердых коммунальных отходов на территории Новосибирской области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4967CB" w:rsidP="00901BC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7. Доля муниципальных районов и городских округов </w:t>
            </w:r>
            <w:r w:rsidRPr="00360105">
              <w:rPr>
                <w:rFonts w:ascii="Times New Roman" w:hAnsi="Times New Roman" w:cs="Times New Roman"/>
              </w:rPr>
              <w:lastRenderedPageBreak/>
              <w:t>Новосибирской обла</w:t>
            </w:r>
            <w:r w:rsidR="003D7B41" w:rsidRPr="00360105">
              <w:rPr>
                <w:rFonts w:ascii="Times New Roman" w:hAnsi="Times New Roman" w:cs="Times New Roman"/>
              </w:rPr>
              <w:t>сти, обеспеченных полигонами твердых коммунальных отходов, отвечающими</w:t>
            </w:r>
            <w:r w:rsidRPr="00360105">
              <w:rPr>
                <w:rFonts w:ascii="Times New Roman" w:hAnsi="Times New Roman" w:cs="Times New Roman"/>
              </w:rPr>
              <w:t xml:space="preserve"> установленным требованиям, от общего количества муниципальных районов и городских округов Новосибирской области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4967C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4967C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0750BF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4967C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4967C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4967C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441A8E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D93C1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B513F2" w:rsidP="00901BCB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  <w:r w:rsidRPr="00360105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4967C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7CB" w:rsidRPr="00360105" w:rsidTr="00901BCB">
        <w:trPr>
          <w:tblCellSpacing w:w="5" w:type="nil"/>
        </w:trPr>
        <w:tc>
          <w:tcPr>
            <w:tcW w:w="4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CB" w:rsidRPr="00360105" w:rsidRDefault="004967CB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4967CB" w:rsidP="00901BC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8. </w:t>
            </w:r>
            <w:r w:rsidR="00217DA3" w:rsidRPr="00360105">
              <w:rPr>
                <w:rFonts w:ascii="Times New Roman" w:hAnsi="Times New Roman" w:cs="Times New Roman"/>
              </w:rPr>
              <w:t>Доля твердых коммунальных отходов, захораниваемых на полигонах твердых коммунальных отходов, отвечающих установленным требованиям, от количества твердых коммунальных отходов, образующихся у населения муниципальных районов и городских округов Новосибирской области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4967C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4967C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D93C1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4967C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4967C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4967C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D93C1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D93C1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B431CF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4967C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7CB" w:rsidRPr="00360105" w:rsidTr="00901BCB">
        <w:trPr>
          <w:tblCellSpacing w:w="5" w:type="nil"/>
        </w:trPr>
        <w:tc>
          <w:tcPr>
            <w:tcW w:w="4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CB" w:rsidRPr="00360105" w:rsidRDefault="004967CB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4967CB" w:rsidP="00901BC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9. </w:t>
            </w:r>
            <w:r w:rsidR="00FE790F" w:rsidRPr="00360105">
              <w:rPr>
                <w:rFonts w:ascii="Times New Roman" w:hAnsi="Times New Roman" w:cs="Times New Roman"/>
              </w:rPr>
              <w:t>Количество полигонов твердых коммунальных отходов, отвечающих установленным требованиям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4967C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C72DC3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785D18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4967C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4967C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4967C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785D18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785D18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6C4AFD" w:rsidP="00901BCB">
            <w:pPr>
              <w:pStyle w:val="ConsPlusCell"/>
              <w:jc w:val="center"/>
              <w:rPr>
                <w:rFonts w:ascii="Times New Roman" w:hAnsi="Times New Roman" w:cs="Times New Roman"/>
                <w:strike/>
              </w:rPr>
            </w:pPr>
            <w:r w:rsidRPr="0036010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4967C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7CB" w:rsidRPr="00360105" w:rsidTr="00901BCB">
        <w:trPr>
          <w:tblCellSpacing w:w="5" w:type="nil"/>
        </w:trPr>
        <w:tc>
          <w:tcPr>
            <w:tcW w:w="4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CB" w:rsidRPr="00360105" w:rsidRDefault="004967CB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3D401B" w:rsidP="00901BC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П6</w:t>
            </w:r>
            <w:r w:rsidR="004967CB" w:rsidRPr="00360105">
              <w:rPr>
                <w:rFonts w:ascii="Times New Roman" w:hAnsi="Times New Roman" w:cs="Times New Roman"/>
              </w:rPr>
              <w:t xml:space="preserve">. Количество </w:t>
            </w:r>
            <w:r w:rsidR="004967CB" w:rsidRPr="00360105">
              <w:rPr>
                <w:rFonts w:ascii="Times New Roman" w:hAnsi="Times New Roman" w:cs="Times New Roman"/>
              </w:rPr>
              <w:lastRenderedPageBreak/>
              <w:t>строящихся (реконструируемых) полигонов ТКО, отвечающих установленным требованиям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4967C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lastRenderedPageBreak/>
              <w:t>штук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C72DC3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D93C1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4967C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9866BF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D93C1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D93C1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D93C1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D93C1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1B" w:rsidRPr="00360105" w:rsidRDefault="00D93C1B" w:rsidP="00D93C1B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2019 год: </w:t>
            </w:r>
            <w:r w:rsidRPr="00360105">
              <w:rPr>
                <w:rFonts w:ascii="Times New Roman" w:hAnsi="Times New Roman" w:cs="Times New Roman"/>
              </w:rPr>
              <w:lastRenderedPageBreak/>
              <w:t>строительство полигона с. Северное, г. Карасук, проектирование полигона ТКО – в с. Кыштовка;</w:t>
            </w:r>
          </w:p>
          <w:p w:rsidR="00D93C1B" w:rsidRPr="00360105" w:rsidRDefault="00D93C1B" w:rsidP="00D93C1B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2020 год: строительство полигона ТКО в  с. Завьялово Искитимского района, с. Северное, с. Баган; </w:t>
            </w:r>
          </w:p>
          <w:p w:rsidR="004967CB" w:rsidRPr="00360105" w:rsidRDefault="00D93C1B" w:rsidP="00D93C1B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2021 год: строительство полигонов в с. Баган, г. Болотное;</w:t>
            </w:r>
          </w:p>
        </w:tc>
      </w:tr>
      <w:tr w:rsidR="004967CB" w:rsidRPr="00360105" w:rsidTr="00901BCB">
        <w:trPr>
          <w:tblCellSpacing w:w="5" w:type="nil"/>
        </w:trPr>
        <w:tc>
          <w:tcPr>
            <w:tcW w:w="4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7CB" w:rsidRPr="00360105" w:rsidRDefault="004967CB" w:rsidP="00901B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8C19F5" w:rsidP="00901BC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10</w:t>
            </w:r>
            <w:r w:rsidR="004967CB" w:rsidRPr="00360105">
              <w:rPr>
                <w:rFonts w:ascii="Times New Roman" w:hAnsi="Times New Roman" w:cs="Times New Roman"/>
              </w:rPr>
              <w:t>. Количество площадок временного накопления твердых коммунальных отходов, созданных на территории Новосибирской области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4967C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E8352F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D93C1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0D3B96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0D3B96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0D3B96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D93C1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D93C1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0D3B96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CB" w:rsidRPr="00360105" w:rsidRDefault="004967CB" w:rsidP="00DF46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540" w:rsidRPr="00360105" w:rsidTr="00901BCB">
        <w:trPr>
          <w:tblCellSpacing w:w="5" w:type="nil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Задача 4. - Создание инфраструктуры по раздельному сбору отходов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8C19F5" w:rsidP="00901BC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11</w:t>
            </w:r>
            <w:r w:rsidR="00041D98" w:rsidRPr="00360105">
              <w:rPr>
                <w:rFonts w:ascii="Times New Roman" w:hAnsi="Times New Roman" w:cs="Times New Roman"/>
              </w:rPr>
              <w:t>. </w:t>
            </w:r>
            <w:r w:rsidR="00F14540" w:rsidRPr="00360105">
              <w:rPr>
                <w:rFonts w:ascii="Times New Roman" w:hAnsi="Times New Roman" w:cs="Times New Roman"/>
              </w:rPr>
              <w:t>Количество районов города Новосибирска, обеспеченных пунктами по раздельному сбору отходов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D93C1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D93C1B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4540" w:rsidRPr="00360105" w:rsidTr="00901BCB">
        <w:trPr>
          <w:tblCellSpacing w:w="5" w:type="nil"/>
        </w:trPr>
        <w:tc>
          <w:tcPr>
            <w:tcW w:w="4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Задача 5.</w:t>
            </w:r>
          </w:p>
          <w:p w:rsidR="00F14540" w:rsidRPr="00360105" w:rsidRDefault="00F14540" w:rsidP="00901BCB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Расширение использования природного газа в качестве моторного топлива на автомобильном транспорте специального назначения операторов по обращению с твердыми коммунальными отходами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8C19F5" w:rsidP="00901BC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13</w:t>
            </w:r>
            <w:r w:rsidR="00041D98" w:rsidRPr="00360105">
              <w:rPr>
                <w:rFonts w:ascii="Times New Roman" w:hAnsi="Times New Roman" w:cs="Times New Roman"/>
              </w:rPr>
              <w:t>. </w:t>
            </w:r>
            <w:r w:rsidR="00F14540" w:rsidRPr="00360105">
              <w:rPr>
                <w:rFonts w:ascii="Times New Roman" w:hAnsi="Times New Roman" w:cs="Times New Roman"/>
              </w:rPr>
              <w:t xml:space="preserve">Количество колесной техники специального назначения (приобретенной или переоборудованной),  использующей </w:t>
            </w:r>
            <w:r w:rsidR="00F14540" w:rsidRPr="00360105">
              <w:rPr>
                <w:rFonts w:ascii="Times New Roman" w:hAnsi="Times New Roman" w:cs="Times New Roman"/>
              </w:rPr>
              <w:lastRenderedPageBreak/>
              <w:t xml:space="preserve">компримированный природный газ в качестве моторного топлива 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5F7092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5F7092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783C89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783C89" w:rsidP="00901BC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0" w:rsidRPr="00360105" w:rsidRDefault="00F14540" w:rsidP="00901BCB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54BAD" w:rsidRPr="00360105" w:rsidTr="00BF7927">
        <w:trPr>
          <w:tblCellSpacing w:w="5" w:type="nil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AD" w:rsidRPr="00360105" w:rsidRDefault="00054BAD" w:rsidP="006835B6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Задача 6.</w:t>
            </w:r>
          </w:p>
          <w:p w:rsidR="00054BAD" w:rsidRPr="00360105" w:rsidRDefault="00054BAD" w:rsidP="006835B6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Ликвидация накопленного вреда окружающей среде (экологическая реабилитация территорий)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AD" w:rsidRPr="00360105" w:rsidRDefault="00054BAD" w:rsidP="006835B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14. Доля возвращенных в хозяйственный оборот рекультивированных земель от потребности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AD" w:rsidRPr="00360105" w:rsidRDefault="00054BAD" w:rsidP="006835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AD" w:rsidRPr="00360105" w:rsidRDefault="00054BAD" w:rsidP="006835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AD" w:rsidRPr="00360105" w:rsidRDefault="00054BAD" w:rsidP="006835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AD" w:rsidRPr="00360105" w:rsidRDefault="00054BAD" w:rsidP="006835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AD" w:rsidRPr="00360105" w:rsidRDefault="00054BAD" w:rsidP="006835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AD" w:rsidRPr="00360105" w:rsidRDefault="00054BAD" w:rsidP="006835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AD" w:rsidRPr="00360105" w:rsidRDefault="00054BAD" w:rsidP="006835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AD" w:rsidRPr="00360105" w:rsidRDefault="00054BAD" w:rsidP="006835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13,2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AD" w:rsidRPr="00360105" w:rsidRDefault="00054BAD" w:rsidP="006835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27,3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BAD" w:rsidRPr="00360105" w:rsidRDefault="00054BAD" w:rsidP="006835B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Значение целевого индикатора приведено с учетом плановых значений реализации мероприятий, зависит от объема финансирования, в том числе из федерального бюджета</w:t>
            </w:r>
          </w:p>
        </w:tc>
      </w:tr>
      <w:tr w:rsidR="00054BAD" w:rsidRPr="00360105" w:rsidTr="002D3E1A">
        <w:trPr>
          <w:tblCellSpacing w:w="5" w:type="nil"/>
        </w:trPr>
        <w:tc>
          <w:tcPr>
            <w:tcW w:w="4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AD" w:rsidRPr="00360105" w:rsidRDefault="00054BAD" w:rsidP="006835B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AD" w:rsidRPr="00360105" w:rsidRDefault="00054BAD" w:rsidP="006835B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AD" w:rsidRPr="00360105" w:rsidRDefault="00054BAD" w:rsidP="006835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AD" w:rsidRPr="00360105" w:rsidRDefault="00054BAD" w:rsidP="006835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AD" w:rsidRPr="00360105" w:rsidRDefault="00054BAD" w:rsidP="006835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AD" w:rsidRPr="00360105" w:rsidRDefault="00054BAD" w:rsidP="006835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AD" w:rsidRPr="00360105" w:rsidRDefault="00054BAD" w:rsidP="006835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AD" w:rsidRPr="00360105" w:rsidRDefault="00054BAD" w:rsidP="006835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AD" w:rsidRPr="00360105" w:rsidRDefault="00054BAD" w:rsidP="006835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AD" w:rsidRPr="00360105" w:rsidRDefault="00054BAD" w:rsidP="006835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AD" w:rsidRPr="00360105" w:rsidRDefault="00054BAD" w:rsidP="006835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AD" w:rsidRPr="00360105" w:rsidRDefault="00054BAD" w:rsidP="006835B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5078" w:rsidRPr="00360105" w:rsidTr="00D35078">
        <w:trPr>
          <w:tblCellSpacing w:w="5" w:type="nil"/>
        </w:trPr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78" w:rsidRPr="00360105" w:rsidRDefault="00D35078" w:rsidP="006835B6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Задача 7.</w:t>
            </w:r>
            <w:r w:rsidRPr="00360105">
              <w:t xml:space="preserve"> </w:t>
            </w:r>
            <w:r w:rsidRPr="00360105">
              <w:rPr>
                <w:rFonts w:ascii="Times New Roman" w:hAnsi="Times New Roman" w:cs="Times New Roman"/>
              </w:rPr>
              <w:t>Ликвидация несанкционированных свалок твердых коммунальных отходов в границах городов, городских округов Новосибирской области и рекультивация территорий, на которых они размещены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78" w:rsidRPr="00360105" w:rsidRDefault="00D35078" w:rsidP="006835B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15. Ликвидированы выявленные на 1 января 2018 года несанкционированные свалки твердых коммунальных отходов, расположенные в границах городов, городских округов Новосибирской области, (нарастающим итогом)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78" w:rsidRPr="00360105" w:rsidRDefault="00D35078" w:rsidP="006835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78" w:rsidRPr="00360105" w:rsidRDefault="00D35078" w:rsidP="006835B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78" w:rsidRPr="00360105" w:rsidRDefault="00CA71E2" w:rsidP="006835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78" w:rsidRPr="00360105" w:rsidRDefault="00CA71E2" w:rsidP="006835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78" w:rsidRPr="00360105" w:rsidRDefault="00CA71E2" w:rsidP="006835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78" w:rsidRPr="00360105" w:rsidRDefault="00CA71E2" w:rsidP="006835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78" w:rsidRPr="00360105" w:rsidRDefault="00CA71E2" w:rsidP="006835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78" w:rsidRPr="00360105" w:rsidRDefault="00CA71E2" w:rsidP="006835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78" w:rsidRPr="00360105" w:rsidRDefault="00CA71E2" w:rsidP="006835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78" w:rsidRPr="00360105" w:rsidRDefault="00D35078" w:rsidP="006835B6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Целевой индикатор введен с 2019 года</w:t>
            </w:r>
          </w:p>
        </w:tc>
      </w:tr>
      <w:tr w:rsidR="00CA71E2" w:rsidRPr="00360105" w:rsidTr="00D35078">
        <w:trPr>
          <w:tblCellSpacing w:w="5" w:type="nil"/>
        </w:trPr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2" w:rsidRPr="00360105" w:rsidRDefault="00CA71E2" w:rsidP="00CA71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2" w:rsidRPr="00360105" w:rsidRDefault="00CA71E2" w:rsidP="00CA71E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16. Численность населения, качество жизни которого улучшиться в связи с ликвидацией несанкционированных свалок твердых коммунальных отходов в границах городов, городских округов </w:t>
            </w:r>
            <w:r w:rsidRPr="00360105">
              <w:rPr>
                <w:rFonts w:ascii="Times New Roman" w:hAnsi="Times New Roman" w:cs="Times New Roman"/>
              </w:rPr>
              <w:lastRenderedPageBreak/>
              <w:t>Новосибирской области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2" w:rsidRPr="00360105" w:rsidRDefault="00CA71E2" w:rsidP="00CA71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lastRenderedPageBreak/>
              <w:t>тыс. чел.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2" w:rsidRPr="00360105" w:rsidRDefault="00CA71E2" w:rsidP="00CA71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2" w:rsidRPr="00360105" w:rsidRDefault="00CA71E2" w:rsidP="00CA71E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2" w:rsidRPr="00360105" w:rsidRDefault="00CA71E2" w:rsidP="00CA71E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2" w:rsidRPr="00360105" w:rsidRDefault="00CA71E2" w:rsidP="00CA71E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2" w:rsidRPr="00360105" w:rsidRDefault="00CA71E2" w:rsidP="00CA71E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2" w:rsidRPr="00360105" w:rsidRDefault="00CA71E2" w:rsidP="00CA71E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2" w:rsidRPr="00360105" w:rsidRDefault="00CA71E2" w:rsidP="00CA71E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29,12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2" w:rsidRPr="00360105" w:rsidRDefault="00CA71E2" w:rsidP="00CA71E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29,12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2" w:rsidRPr="00360105" w:rsidRDefault="00CA71E2" w:rsidP="00CA71E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Целевой индикатор введен с 2019 года</w:t>
            </w:r>
          </w:p>
        </w:tc>
      </w:tr>
      <w:tr w:rsidR="00CA71E2" w:rsidRPr="00360105" w:rsidTr="00D35078">
        <w:trPr>
          <w:trHeight w:val="3000"/>
          <w:tblCellSpacing w:w="5" w:type="nil"/>
        </w:trPr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2" w:rsidRPr="00360105" w:rsidRDefault="00CA71E2" w:rsidP="00CA71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2" w:rsidRPr="00360105" w:rsidRDefault="00CA71E2" w:rsidP="00CA71E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17. Общая площадь восстановленных, в том числе рекультивированных территорий, занятых несанкционированными свалками твердых коммунальных отходов в границах городов, городских округов Новосибирской области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2" w:rsidRPr="00360105" w:rsidRDefault="00CA71E2" w:rsidP="00CA71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2" w:rsidRPr="00360105" w:rsidRDefault="00CA71E2" w:rsidP="00CA71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2" w:rsidRPr="00360105" w:rsidRDefault="00CA71E2" w:rsidP="00CA71E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2" w:rsidRPr="00360105" w:rsidRDefault="00CA71E2" w:rsidP="00CA71E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2" w:rsidRPr="00360105" w:rsidRDefault="00CA71E2" w:rsidP="00CA71E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2" w:rsidRPr="00360105" w:rsidRDefault="00CA71E2" w:rsidP="00CA71E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2" w:rsidRPr="00360105" w:rsidRDefault="00CA71E2" w:rsidP="00CA71E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2" w:rsidRPr="00360105" w:rsidRDefault="00CA71E2" w:rsidP="00CA71E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9,18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2" w:rsidRPr="00360105" w:rsidRDefault="00CA71E2" w:rsidP="00CA71E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9,18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E2" w:rsidRPr="00360105" w:rsidRDefault="00CA71E2" w:rsidP="00CA71E2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360105">
              <w:rPr>
                <w:rFonts w:ascii="Times New Roman" w:hAnsi="Times New Roman" w:cs="Times New Roman"/>
                <w:color w:val="000000" w:themeColor="text1"/>
              </w:rPr>
              <w:t>Целевой индикатор введен с 2019 года</w:t>
            </w:r>
          </w:p>
        </w:tc>
      </w:tr>
    </w:tbl>
    <w:p w:rsidR="00856651" w:rsidRPr="00360105" w:rsidRDefault="00856651" w:rsidP="003C5D24">
      <w:pPr>
        <w:pStyle w:val="ConsPlusCel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91744" w:rsidRPr="00360105" w:rsidRDefault="00EF2230" w:rsidP="00D1317B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 xml:space="preserve">Примечание: нумерация целевых индикаторов дана в соответствии с приложением 1 «Цели, задачи и целевые индикаторы государственной программы Новосибирской области </w:t>
      </w:r>
      <w:r w:rsidR="00691744" w:rsidRPr="00360105">
        <w:rPr>
          <w:rFonts w:ascii="Times New Roman" w:hAnsi="Times New Roman" w:cs="Times New Roman"/>
          <w:sz w:val="28"/>
          <w:szCs w:val="28"/>
        </w:rPr>
        <w:t>«Развитие системы обращения с отходами производства и потребления в Новосибир</w:t>
      </w:r>
      <w:r w:rsidR="002E6C41" w:rsidRPr="00360105">
        <w:rPr>
          <w:rFonts w:ascii="Times New Roman" w:hAnsi="Times New Roman" w:cs="Times New Roman"/>
          <w:sz w:val="28"/>
          <w:szCs w:val="28"/>
        </w:rPr>
        <w:t>ской области</w:t>
      </w:r>
      <w:r w:rsidR="00691744" w:rsidRPr="00360105">
        <w:rPr>
          <w:rFonts w:ascii="Times New Roman" w:hAnsi="Times New Roman" w:cs="Times New Roman"/>
          <w:sz w:val="28"/>
          <w:szCs w:val="28"/>
        </w:rPr>
        <w:t>»</w:t>
      </w:r>
    </w:p>
    <w:p w:rsidR="00EF2230" w:rsidRPr="00360105" w:rsidRDefault="0094757A" w:rsidP="003C5D2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1 – подробная детализация приведена в соответствии с требованиями п. 3 Приложения № 5 к Методическим указаниям по разработке и реализации государственных программ Новосибирской области, утвержденным приказом Минэкономразвития НСО от 29.12.2017 № 154</w:t>
      </w:r>
    </w:p>
    <w:p w:rsidR="00F14540" w:rsidRPr="00360105" w:rsidRDefault="00F14540" w:rsidP="00881791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:rsidR="005E5530" w:rsidRPr="00360105" w:rsidRDefault="005E5530" w:rsidP="00AA3104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__________</w:t>
      </w:r>
    </w:p>
    <w:p w:rsidR="00AD6462" w:rsidRPr="00360105" w:rsidRDefault="00AD6462" w:rsidP="00AA3104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:rsidR="007559FB" w:rsidRPr="00360105" w:rsidRDefault="007559FB" w:rsidP="00AA3104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:rsidR="007559FB" w:rsidRPr="00360105" w:rsidRDefault="007559FB" w:rsidP="00AA3104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:rsidR="00AD6462" w:rsidRPr="00360105" w:rsidRDefault="00AD6462" w:rsidP="001116D9">
      <w:pPr>
        <w:ind w:left="11057"/>
        <w:jc w:val="right"/>
        <w:rPr>
          <w:rFonts w:eastAsiaTheme="minorHAnsi"/>
          <w:sz w:val="28"/>
          <w:szCs w:val="28"/>
          <w:lang w:eastAsia="en-US"/>
        </w:rPr>
      </w:pPr>
    </w:p>
    <w:p w:rsidR="001116D9" w:rsidRPr="00360105" w:rsidRDefault="001116D9" w:rsidP="001116D9">
      <w:pPr>
        <w:ind w:left="11057"/>
        <w:jc w:val="right"/>
        <w:rPr>
          <w:rFonts w:eastAsiaTheme="minorHAnsi"/>
          <w:sz w:val="28"/>
          <w:szCs w:val="28"/>
          <w:lang w:eastAsia="en-US"/>
        </w:rPr>
      </w:pPr>
      <w:r w:rsidRPr="00360105">
        <w:rPr>
          <w:rFonts w:eastAsiaTheme="minorHAnsi"/>
          <w:sz w:val="28"/>
          <w:szCs w:val="28"/>
          <w:lang w:eastAsia="en-US"/>
        </w:rPr>
        <w:t>Таблица № 2</w:t>
      </w:r>
    </w:p>
    <w:p w:rsidR="001116D9" w:rsidRPr="00360105" w:rsidRDefault="001116D9" w:rsidP="001116D9">
      <w:pPr>
        <w:ind w:left="12474"/>
        <w:jc w:val="center"/>
        <w:rPr>
          <w:rFonts w:eastAsiaTheme="minorHAnsi"/>
          <w:sz w:val="28"/>
          <w:szCs w:val="28"/>
          <w:lang w:eastAsia="en-US"/>
        </w:rPr>
      </w:pPr>
    </w:p>
    <w:p w:rsidR="005E5530" w:rsidRPr="00360105" w:rsidRDefault="001116D9" w:rsidP="001116D9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Информация о порядке сбора информации для определения (расчета) плановых и фактических значений целевых индикаторов </w:t>
      </w:r>
      <w:r w:rsidRPr="00360105">
        <w:rPr>
          <w:rFonts w:ascii="Times New Roman" w:hAnsi="Times New Roman" w:cs="Times New Roman"/>
          <w:sz w:val="28"/>
          <w:szCs w:val="28"/>
          <w:lang w:eastAsia="en-US"/>
        </w:rPr>
        <w:t>государственной программы Новосибирской области «</w:t>
      </w:r>
      <w:r w:rsidR="00144C8B" w:rsidRPr="00360105">
        <w:rPr>
          <w:rFonts w:ascii="Times New Roman" w:hAnsi="Times New Roman" w:cs="Times New Roman"/>
          <w:sz w:val="28"/>
          <w:szCs w:val="28"/>
          <w:lang w:eastAsia="en-US"/>
        </w:rPr>
        <w:t>Развитие системы обращения с отходами производства и потребления в Новосибир</w:t>
      </w:r>
      <w:r w:rsidR="00AE39CE" w:rsidRPr="00360105">
        <w:rPr>
          <w:rFonts w:ascii="Times New Roman" w:hAnsi="Times New Roman" w:cs="Times New Roman"/>
          <w:sz w:val="28"/>
          <w:szCs w:val="28"/>
          <w:lang w:eastAsia="en-US"/>
        </w:rPr>
        <w:t>ской области</w:t>
      </w:r>
      <w:r w:rsidR="00144C8B" w:rsidRPr="00360105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36010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E39CE" w:rsidRPr="00360105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очередной 2019 год и плановый период 2020</w:t>
      </w:r>
      <w:r w:rsidR="00B066E2" w:rsidRPr="00360105">
        <w:t xml:space="preserve"> </w:t>
      </w:r>
      <w:r w:rsidR="00AE39CE" w:rsidRPr="00360105">
        <w:rPr>
          <w:rFonts w:ascii="Times New Roman" w:eastAsiaTheme="minorHAnsi" w:hAnsi="Times New Roman" w:cs="Times New Roman"/>
          <w:sz w:val="28"/>
          <w:szCs w:val="28"/>
          <w:lang w:eastAsia="en-US"/>
        </w:rPr>
        <w:t>и 2021</w:t>
      </w:r>
      <w:r w:rsidR="00B066E2" w:rsidRPr="003601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годов</w:t>
      </w:r>
    </w:p>
    <w:p w:rsidR="001116D9" w:rsidRPr="00360105" w:rsidRDefault="001116D9" w:rsidP="00881791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276"/>
        <w:gridCol w:w="2126"/>
        <w:gridCol w:w="4536"/>
        <w:gridCol w:w="4819"/>
      </w:tblGrid>
      <w:tr w:rsidR="004C37D2" w:rsidRPr="00360105" w:rsidTr="001D3886">
        <w:tc>
          <w:tcPr>
            <w:tcW w:w="3227" w:type="dxa"/>
            <w:shd w:val="clear" w:color="auto" w:fill="auto"/>
            <w:vAlign w:val="center"/>
          </w:tcPr>
          <w:p w:rsidR="004C37D2" w:rsidRPr="00360105" w:rsidRDefault="004C37D2" w:rsidP="001D3886">
            <w:pPr>
              <w:tabs>
                <w:tab w:val="left" w:pos="4111"/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Наименование целевого индикатора (ед. измерения)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37D2" w:rsidRPr="00360105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Периодичность сбора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37D2" w:rsidRPr="00360105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Вид временной характеристики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C37D2" w:rsidRPr="00360105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Методика расчета (плановых и фактических значений)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C37D2" w:rsidRPr="00360105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Источник получения данных</w:t>
            </w:r>
          </w:p>
        </w:tc>
      </w:tr>
      <w:tr w:rsidR="004C37D2" w:rsidRPr="00360105" w:rsidTr="001D3886">
        <w:trPr>
          <w:trHeight w:val="333"/>
        </w:trPr>
        <w:tc>
          <w:tcPr>
            <w:tcW w:w="3227" w:type="dxa"/>
            <w:shd w:val="clear" w:color="auto" w:fill="auto"/>
            <w:vAlign w:val="center"/>
          </w:tcPr>
          <w:p w:rsidR="004C37D2" w:rsidRPr="00360105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37D2" w:rsidRPr="00360105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37D2" w:rsidRPr="00360105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C37D2" w:rsidRPr="00360105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4C37D2" w:rsidRPr="00360105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5</w:t>
            </w:r>
          </w:p>
        </w:tc>
      </w:tr>
      <w:tr w:rsidR="004C37D2" w:rsidRPr="00360105" w:rsidTr="001D3886">
        <w:trPr>
          <w:trHeight w:val="333"/>
        </w:trPr>
        <w:tc>
          <w:tcPr>
            <w:tcW w:w="3227" w:type="dxa"/>
            <w:shd w:val="clear" w:color="auto" w:fill="auto"/>
          </w:tcPr>
          <w:p w:rsidR="004C37D2" w:rsidRPr="00360105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1. Доля обезвреживаемых, используемых отходов от объема отходов, образованных в Новосибирской области (%)</w:t>
            </w:r>
          </w:p>
        </w:tc>
        <w:tc>
          <w:tcPr>
            <w:tcW w:w="1276" w:type="dxa"/>
            <w:shd w:val="clear" w:color="auto" w:fill="auto"/>
          </w:tcPr>
          <w:p w:rsidR="004C37D2" w:rsidRPr="00360105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годовая</w:t>
            </w:r>
          </w:p>
          <w:p w:rsidR="004C37D2" w:rsidRPr="00360105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</w:p>
          <w:p w:rsidR="004C37D2" w:rsidRPr="00360105" w:rsidRDefault="004C37D2" w:rsidP="001D3886">
            <w:pPr>
              <w:tabs>
                <w:tab w:val="left" w:pos="9923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C37D2" w:rsidRPr="00360105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ежегодно</w:t>
            </w:r>
          </w:p>
        </w:tc>
        <w:tc>
          <w:tcPr>
            <w:tcW w:w="4536" w:type="dxa"/>
            <w:shd w:val="clear" w:color="auto" w:fill="auto"/>
          </w:tcPr>
          <w:p w:rsidR="004C37D2" w:rsidRPr="00360105" w:rsidRDefault="004C37D2" w:rsidP="00C45C6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60105">
              <w:rPr>
                <w:sz w:val="20"/>
                <w:szCs w:val="20"/>
              </w:rPr>
              <w:t>Определяетс</w:t>
            </w:r>
            <w:r w:rsidRPr="00360105">
              <w:rPr>
                <w:i/>
                <w:sz w:val="20"/>
                <w:szCs w:val="20"/>
              </w:rPr>
              <w:t>я</w:t>
            </w:r>
            <w:r w:rsidRPr="00360105">
              <w:rPr>
                <w:sz w:val="20"/>
                <w:szCs w:val="20"/>
              </w:rPr>
              <w:t xml:space="preserve"> по данным федерального статистического наблюдения по форме № 2-ТП </w:t>
            </w:r>
            <w:r w:rsidR="00C45C64" w:rsidRPr="00360105">
              <w:rPr>
                <w:rFonts w:eastAsiaTheme="minorHAnsi"/>
                <w:sz w:val="20"/>
                <w:szCs w:val="20"/>
                <w:lang w:eastAsia="en-US"/>
              </w:rPr>
              <w:t>(приказ Росстата от 10.08.2017 № 529 «Об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отходами производства и потребления»).</w:t>
            </w:r>
          </w:p>
          <w:p w:rsidR="004C37D2" w:rsidRPr="00360105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1. Плановое значение определяется исходя из фактически сложившихся показателей до начала реализации и с учетом планируемых к реализации мероприятий. </w:t>
            </w:r>
          </w:p>
          <w:p w:rsidR="004C37D2" w:rsidRPr="00360105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2. Фактическое значение по форме № 2-ТП.</w:t>
            </w:r>
            <w:r w:rsidRPr="00360105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4C37D2" w:rsidRPr="00360105" w:rsidRDefault="004C37D2" w:rsidP="001D3886">
            <w:pPr>
              <w:tabs>
                <w:tab w:val="left" w:pos="9923"/>
              </w:tabs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Статистические данные по результатам реализации госпрограммы за год в целом</w:t>
            </w:r>
          </w:p>
        </w:tc>
      </w:tr>
      <w:tr w:rsidR="004C37D2" w:rsidRPr="00360105" w:rsidTr="001D3886">
        <w:trPr>
          <w:trHeight w:val="333"/>
        </w:trPr>
        <w:tc>
          <w:tcPr>
            <w:tcW w:w="3227" w:type="dxa"/>
            <w:shd w:val="clear" w:color="auto" w:fill="auto"/>
          </w:tcPr>
          <w:p w:rsidR="004C37D2" w:rsidRPr="00360105" w:rsidRDefault="00F84AF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2.</w:t>
            </w:r>
            <w:r w:rsidR="004C37D2" w:rsidRPr="00360105">
              <w:rPr>
                <w:sz w:val="20"/>
                <w:szCs w:val="20"/>
              </w:rPr>
              <w:t> Доля отходов, направляемых на захоронение, в общем объеме образованных отходов в процессе производства и потребления (%)</w:t>
            </w:r>
          </w:p>
        </w:tc>
        <w:tc>
          <w:tcPr>
            <w:tcW w:w="1276" w:type="dxa"/>
            <w:shd w:val="clear" w:color="auto" w:fill="auto"/>
          </w:tcPr>
          <w:p w:rsidR="004C37D2" w:rsidRPr="00360105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годовая</w:t>
            </w:r>
          </w:p>
          <w:p w:rsidR="004C37D2" w:rsidRPr="00360105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</w:p>
          <w:p w:rsidR="004C37D2" w:rsidRPr="00360105" w:rsidRDefault="004C37D2" w:rsidP="001D3886">
            <w:pPr>
              <w:tabs>
                <w:tab w:val="left" w:pos="9923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C37D2" w:rsidRPr="00360105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ежегодно</w:t>
            </w:r>
          </w:p>
        </w:tc>
        <w:tc>
          <w:tcPr>
            <w:tcW w:w="4536" w:type="dxa"/>
            <w:shd w:val="clear" w:color="auto" w:fill="auto"/>
          </w:tcPr>
          <w:p w:rsidR="00C45C64" w:rsidRPr="00360105" w:rsidRDefault="004C37D2" w:rsidP="00C45C64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Определяетс</w:t>
            </w:r>
            <w:r w:rsidRPr="00360105">
              <w:rPr>
                <w:i/>
                <w:sz w:val="20"/>
                <w:szCs w:val="20"/>
              </w:rPr>
              <w:t>я</w:t>
            </w:r>
            <w:r w:rsidRPr="00360105">
              <w:rPr>
                <w:sz w:val="20"/>
                <w:szCs w:val="20"/>
              </w:rPr>
              <w:t xml:space="preserve"> по данным федерального статистического наблюдения по форме № 2-ТП </w:t>
            </w:r>
            <w:r w:rsidR="00C45C64" w:rsidRPr="00360105">
              <w:rPr>
                <w:sz w:val="20"/>
                <w:szCs w:val="20"/>
              </w:rPr>
              <w:t>(приказ Росстата от 10.08.2017 № 529 «Об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отходами производства и потребления»).</w:t>
            </w:r>
          </w:p>
          <w:p w:rsidR="004C37D2" w:rsidRPr="00360105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1. Плановое значение определяется исходя из фактически сложившихся показателей до начала реализации и с учетом планируемых к реализации мероприятий. </w:t>
            </w:r>
          </w:p>
          <w:p w:rsidR="004C37D2" w:rsidRPr="00360105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2. Фактическое значение по форме № 2-ТП</w:t>
            </w:r>
          </w:p>
        </w:tc>
        <w:tc>
          <w:tcPr>
            <w:tcW w:w="4819" w:type="dxa"/>
            <w:shd w:val="clear" w:color="auto" w:fill="auto"/>
          </w:tcPr>
          <w:p w:rsidR="004C37D2" w:rsidRPr="00360105" w:rsidRDefault="004C37D2" w:rsidP="001D3886">
            <w:pPr>
              <w:tabs>
                <w:tab w:val="left" w:pos="9923"/>
              </w:tabs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Статистические данные по результатам реализации госпрограммы за год в целом</w:t>
            </w:r>
          </w:p>
        </w:tc>
      </w:tr>
      <w:tr w:rsidR="004C37D2" w:rsidRPr="00360105" w:rsidTr="001D3886">
        <w:trPr>
          <w:trHeight w:val="333"/>
        </w:trPr>
        <w:tc>
          <w:tcPr>
            <w:tcW w:w="3227" w:type="dxa"/>
            <w:shd w:val="clear" w:color="auto" w:fill="auto"/>
          </w:tcPr>
          <w:p w:rsidR="004C37D2" w:rsidRPr="00360105" w:rsidRDefault="00F84AF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3.</w:t>
            </w:r>
            <w:r w:rsidR="004C37D2" w:rsidRPr="00360105">
              <w:rPr>
                <w:sz w:val="20"/>
                <w:szCs w:val="20"/>
              </w:rPr>
              <w:t> </w:t>
            </w:r>
            <w:r w:rsidR="00272A4A" w:rsidRPr="00360105">
              <w:rPr>
                <w:sz w:val="20"/>
                <w:szCs w:val="20"/>
              </w:rPr>
              <w:t xml:space="preserve">Доля твердых коммунальных отходов, направляемых на захоронение, в общем объеме образованных твердых коммунальных отходов </w:t>
            </w:r>
            <w:r w:rsidR="00EA200C" w:rsidRPr="00360105">
              <w:rPr>
                <w:sz w:val="20"/>
                <w:szCs w:val="20"/>
              </w:rPr>
              <w:t>(%)</w:t>
            </w:r>
          </w:p>
        </w:tc>
        <w:tc>
          <w:tcPr>
            <w:tcW w:w="1276" w:type="dxa"/>
            <w:shd w:val="clear" w:color="auto" w:fill="auto"/>
          </w:tcPr>
          <w:p w:rsidR="004C37D2" w:rsidRPr="00360105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годовая</w:t>
            </w:r>
          </w:p>
          <w:p w:rsidR="004C37D2" w:rsidRPr="00360105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</w:p>
          <w:p w:rsidR="004C37D2" w:rsidRPr="00360105" w:rsidRDefault="004C37D2" w:rsidP="001D3886">
            <w:pPr>
              <w:tabs>
                <w:tab w:val="left" w:pos="9923"/>
              </w:tabs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C37D2" w:rsidRPr="00360105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ежегодно</w:t>
            </w:r>
          </w:p>
        </w:tc>
        <w:tc>
          <w:tcPr>
            <w:tcW w:w="4536" w:type="dxa"/>
            <w:shd w:val="clear" w:color="auto" w:fill="auto"/>
          </w:tcPr>
          <w:p w:rsidR="004C37D2" w:rsidRPr="00360105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Определяетс</w:t>
            </w:r>
            <w:r w:rsidRPr="00360105">
              <w:rPr>
                <w:i/>
                <w:sz w:val="20"/>
                <w:szCs w:val="20"/>
              </w:rPr>
              <w:t>я</w:t>
            </w:r>
            <w:r w:rsidRPr="00360105">
              <w:rPr>
                <w:sz w:val="20"/>
                <w:szCs w:val="20"/>
              </w:rPr>
              <w:t xml:space="preserve"> расчетным путем из данных федерального статистического наблюдения по форме № 2-ТП </w:t>
            </w:r>
            <w:r w:rsidR="00C45C64" w:rsidRPr="00360105">
              <w:rPr>
                <w:sz w:val="20"/>
                <w:szCs w:val="20"/>
              </w:rPr>
              <w:t>(</w:t>
            </w:r>
            <w:r w:rsidR="007559FB" w:rsidRPr="00360105">
              <w:rPr>
                <w:sz w:val="20"/>
                <w:szCs w:val="20"/>
              </w:rPr>
              <w:t>приказ Росстата от 10.08.2017 № </w:t>
            </w:r>
            <w:r w:rsidR="00C45C64" w:rsidRPr="00360105">
              <w:rPr>
                <w:sz w:val="20"/>
                <w:szCs w:val="20"/>
              </w:rPr>
              <w:t>529 «Об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отходами производства и потребления»</w:t>
            </w:r>
            <w:r w:rsidRPr="00360105">
              <w:rPr>
                <w:sz w:val="20"/>
                <w:szCs w:val="20"/>
              </w:rPr>
              <w:t>)</w:t>
            </w:r>
            <w:r w:rsidR="00C45C64" w:rsidRPr="00360105">
              <w:rPr>
                <w:sz w:val="20"/>
                <w:szCs w:val="20"/>
              </w:rPr>
              <w:t>.</w:t>
            </w:r>
          </w:p>
          <w:p w:rsidR="004C37D2" w:rsidRPr="00360105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1. Плановое значение определяется исходя из фактически сложившихся показателей до начала </w:t>
            </w:r>
            <w:r w:rsidRPr="00360105">
              <w:rPr>
                <w:sz w:val="20"/>
                <w:szCs w:val="20"/>
              </w:rPr>
              <w:lastRenderedPageBreak/>
              <w:t xml:space="preserve">реализации и с учетом планируемых к реализации мероприятий. </w:t>
            </w:r>
          </w:p>
          <w:p w:rsidR="004C37D2" w:rsidRPr="00360105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2. Фактическое значение расчетным путем из формы № 2-ТП</w:t>
            </w:r>
          </w:p>
        </w:tc>
        <w:tc>
          <w:tcPr>
            <w:tcW w:w="4819" w:type="dxa"/>
            <w:shd w:val="clear" w:color="auto" w:fill="auto"/>
          </w:tcPr>
          <w:p w:rsidR="004C37D2" w:rsidRPr="00360105" w:rsidRDefault="004C37D2" w:rsidP="001D3886">
            <w:pPr>
              <w:tabs>
                <w:tab w:val="left" w:pos="9923"/>
              </w:tabs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lastRenderedPageBreak/>
              <w:t>Статистические данные по результатам реализации госпрограммы за год в целом</w:t>
            </w:r>
          </w:p>
        </w:tc>
      </w:tr>
      <w:tr w:rsidR="007559FB" w:rsidRPr="00360105" w:rsidTr="001D3886">
        <w:trPr>
          <w:trHeight w:val="333"/>
        </w:trPr>
        <w:tc>
          <w:tcPr>
            <w:tcW w:w="3227" w:type="dxa"/>
            <w:shd w:val="clear" w:color="auto" w:fill="auto"/>
          </w:tcPr>
          <w:p w:rsidR="007559FB" w:rsidRPr="00360105" w:rsidRDefault="007559FB" w:rsidP="004C2CA9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3.1 Доля твердых коммунальных отходов, направленных на обработку, в общем объеме образованных твердых коммунальных отходов </w:t>
            </w:r>
          </w:p>
        </w:tc>
        <w:tc>
          <w:tcPr>
            <w:tcW w:w="1276" w:type="dxa"/>
            <w:shd w:val="clear" w:color="auto" w:fill="auto"/>
          </w:tcPr>
          <w:p w:rsidR="007559FB" w:rsidRPr="00360105" w:rsidRDefault="004C2CA9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годовая</w:t>
            </w:r>
          </w:p>
        </w:tc>
        <w:tc>
          <w:tcPr>
            <w:tcW w:w="2126" w:type="dxa"/>
            <w:shd w:val="clear" w:color="auto" w:fill="auto"/>
          </w:tcPr>
          <w:p w:rsidR="007559FB" w:rsidRPr="00360105" w:rsidRDefault="004C2CA9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ежегодно</w:t>
            </w:r>
          </w:p>
        </w:tc>
        <w:tc>
          <w:tcPr>
            <w:tcW w:w="4536" w:type="dxa"/>
            <w:shd w:val="clear" w:color="auto" w:fill="auto"/>
          </w:tcPr>
          <w:p w:rsidR="004C2CA9" w:rsidRPr="00360105" w:rsidRDefault="004C2CA9" w:rsidP="004C2CA9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Определяется по данным федерального статистического наблюдения по форме № 2-ТП (приказ Росстата от 10.08.2017 № 529 «Об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отходами производства и потребления»).</w:t>
            </w:r>
          </w:p>
          <w:p w:rsidR="004C2CA9" w:rsidRPr="00360105" w:rsidRDefault="004C2CA9" w:rsidP="004C2CA9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1. Плановое значение определяется исходя из фактически сложившихся показателей до начала реализации и с учетом планируемых к реализации мероприятий. </w:t>
            </w:r>
          </w:p>
          <w:p w:rsidR="007559FB" w:rsidRPr="00360105" w:rsidRDefault="004C2CA9" w:rsidP="004C2CA9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2. Фактическое значение по форме № 2-ТП</w:t>
            </w:r>
          </w:p>
        </w:tc>
        <w:tc>
          <w:tcPr>
            <w:tcW w:w="4819" w:type="dxa"/>
            <w:shd w:val="clear" w:color="auto" w:fill="auto"/>
          </w:tcPr>
          <w:p w:rsidR="007559FB" w:rsidRPr="00360105" w:rsidRDefault="004C2CA9" w:rsidP="001D3886">
            <w:pPr>
              <w:tabs>
                <w:tab w:val="left" w:pos="9923"/>
              </w:tabs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Статистические данные по результатам реализации госпрограммы за год в целом</w:t>
            </w:r>
          </w:p>
        </w:tc>
      </w:tr>
      <w:tr w:rsidR="004C37D2" w:rsidRPr="00360105" w:rsidTr="001D3886">
        <w:trPr>
          <w:trHeight w:val="333"/>
        </w:trPr>
        <w:tc>
          <w:tcPr>
            <w:tcW w:w="3227" w:type="dxa"/>
            <w:shd w:val="clear" w:color="auto" w:fill="auto"/>
          </w:tcPr>
          <w:p w:rsidR="004C37D2" w:rsidRPr="00360105" w:rsidRDefault="00F84AF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4</w:t>
            </w:r>
            <w:r w:rsidR="004C37D2" w:rsidRPr="00360105">
              <w:rPr>
                <w:sz w:val="20"/>
                <w:szCs w:val="20"/>
              </w:rPr>
              <w:t>. Количество мусорообрабатывающих предприятий, созданных в результате реализации пилотного проекта для города Новосибирска и Новосибирской агломерации Новосибирской области (ед.)</w:t>
            </w:r>
          </w:p>
        </w:tc>
        <w:tc>
          <w:tcPr>
            <w:tcW w:w="1276" w:type="dxa"/>
            <w:shd w:val="clear" w:color="auto" w:fill="auto"/>
          </w:tcPr>
          <w:p w:rsidR="004C37D2" w:rsidRPr="00360105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квартальная</w:t>
            </w:r>
          </w:p>
        </w:tc>
        <w:tc>
          <w:tcPr>
            <w:tcW w:w="2126" w:type="dxa"/>
            <w:shd w:val="clear" w:color="auto" w:fill="auto"/>
          </w:tcPr>
          <w:p w:rsidR="004C37D2" w:rsidRPr="00360105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нарастающим итогом </w:t>
            </w:r>
          </w:p>
        </w:tc>
        <w:tc>
          <w:tcPr>
            <w:tcW w:w="4536" w:type="dxa"/>
            <w:shd w:val="clear" w:color="auto" w:fill="auto"/>
          </w:tcPr>
          <w:p w:rsidR="004C37D2" w:rsidRPr="00360105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1. За плановое значение принято – 2 предприятия.</w:t>
            </w:r>
          </w:p>
          <w:p w:rsidR="00BD60C5" w:rsidRPr="00360105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2. Фактическое значение определяется с учетом завершения строительства, на основании актов ввода в эксплуатацию объектов.</w:t>
            </w:r>
          </w:p>
          <w:p w:rsidR="00BD60C5" w:rsidRPr="00360105" w:rsidRDefault="00BD60C5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Расчет производится в рамках мероприятия </w:t>
            </w:r>
            <w:r w:rsidR="00FF3A6E" w:rsidRPr="00360105">
              <w:rPr>
                <w:sz w:val="20"/>
                <w:szCs w:val="20"/>
              </w:rPr>
              <w:t>1.1.</w:t>
            </w:r>
          </w:p>
        </w:tc>
        <w:tc>
          <w:tcPr>
            <w:tcW w:w="4819" w:type="dxa"/>
            <w:shd w:val="clear" w:color="auto" w:fill="auto"/>
          </w:tcPr>
          <w:p w:rsidR="004C37D2" w:rsidRPr="00360105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1. Плановые значения приняты в соответствии с</w:t>
            </w:r>
            <w:r w:rsidRPr="00360105">
              <w:t xml:space="preserve"> </w:t>
            </w:r>
            <w:r w:rsidRPr="00360105">
              <w:rPr>
                <w:sz w:val="20"/>
                <w:szCs w:val="20"/>
              </w:rPr>
              <w:t xml:space="preserve">Территориальной схемой обращения с отходами, в том числе с ТКО, Новосибирской области, утвержденной постановлением Правительства НСО от 26.09.2016 № 292-п </w:t>
            </w:r>
          </w:p>
          <w:p w:rsidR="004425D0" w:rsidRPr="00360105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2. Фактические значения согласно акту ввода объекта в эксплуатацию.</w:t>
            </w:r>
          </w:p>
        </w:tc>
      </w:tr>
      <w:tr w:rsidR="004C37D2" w:rsidRPr="00360105" w:rsidTr="001D3886">
        <w:trPr>
          <w:trHeight w:val="333"/>
        </w:trPr>
        <w:tc>
          <w:tcPr>
            <w:tcW w:w="3227" w:type="dxa"/>
            <w:shd w:val="clear" w:color="auto" w:fill="auto"/>
          </w:tcPr>
          <w:p w:rsidR="004C37D2" w:rsidRPr="00360105" w:rsidRDefault="005C37FB" w:rsidP="001D3886">
            <w:pPr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П1</w:t>
            </w:r>
            <w:r w:rsidR="004C37D2" w:rsidRPr="00360105">
              <w:rPr>
                <w:sz w:val="20"/>
                <w:szCs w:val="20"/>
              </w:rPr>
              <w:t>. Количество строящихся мусорообрабатывающих предприятий в рамках реализации пилотного проекта для города Новосибирска и Новосибирской агломерации Новосибирской области (ед.)</w:t>
            </w:r>
          </w:p>
        </w:tc>
        <w:tc>
          <w:tcPr>
            <w:tcW w:w="1276" w:type="dxa"/>
            <w:shd w:val="clear" w:color="auto" w:fill="auto"/>
          </w:tcPr>
          <w:p w:rsidR="004C37D2" w:rsidRPr="00360105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квартальная</w:t>
            </w:r>
          </w:p>
        </w:tc>
        <w:tc>
          <w:tcPr>
            <w:tcW w:w="2126" w:type="dxa"/>
            <w:shd w:val="clear" w:color="auto" w:fill="auto"/>
          </w:tcPr>
          <w:p w:rsidR="004C37D2" w:rsidRPr="00360105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4536" w:type="dxa"/>
            <w:shd w:val="clear" w:color="auto" w:fill="auto"/>
          </w:tcPr>
          <w:p w:rsidR="004C37D2" w:rsidRPr="00360105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1. За плановое значение принято – 2 предприятия, в соответствии с </w:t>
            </w:r>
            <w:r w:rsidRPr="00360105">
              <w:rPr>
                <w:kern w:val="28"/>
                <w:sz w:val="20"/>
                <w:szCs w:val="20"/>
              </w:rPr>
              <w:t>концессионным соглашением в отношении создания и эксплуатации системы коммунальной инфраструктуры – объектов, используемых для обработки, обезвреживания и захоронения твердых коммунальных отходов в Новосибирской области, заключенным МЖКХиЭ НСО с ООО «Экология-Новосибирск» 22.07.2016.</w:t>
            </w:r>
          </w:p>
          <w:p w:rsidR="00FF3A6E" w:rsidRPr="00360105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2. Фактическое значение определяется с учетом наличия в отчетном году строящихся объектов.</w:t>
            </w:r>
          </w:p>
          <w:p w:rsidR="00FF3A6E" w:rsidRPr="00360105" w:rsidRDefault="00B927D5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Расчет производится в рамках мероприятия 1.1</w:t>
            </w:r>
          </w:p>
        </w:tc>
        <w:tc>
          <w:tcPr>
            <w:tcW w:w="4819" w:type="dxa"/>
            <w:shd w:val="clear" w:color="auto" w:fill="auto"/>
          </w:tcPr>
          <w:p w:rsidR="004C37D2" w:rsidRPr="00360105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1. Плановые значения приняты в соответствии с Территориальной схемой обращения с отходами, в том числе с ТКО, Новосибирской области, утвержденной постановлением Правительства НСО от 26.09.2016 № 292-п </w:t>
            </w:r>
          </w:p>
          <w:p w:rsidR="004C37D2" w:rsidRPr="00360105" w:rsidRDefault="004C37D2" w:rsidP="001D3886">
            <w:pPr>
              <w:tabs>
                <w:tab w:val="left" w:pos="9923"/>
              </w:tabs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2. Фактические значения на основании начала строительных работ.</w:t>
            </w:r>
          </w:p>
          <w:p w:rsidR="004425D0" w:rsidRPr="00360105" w:rsidRDefault="004425D0" w:rsidP="001D3886">
            <w:pPr>
              <w:tabs>
                <w:tab w:val="left" w:pos="9923"/>
              </w:tabs>
              <w:rPr>
                <w:sz w:val="20"/>
                <w:szCs w:val="20"/>
              </w:rPr>
            </w:pPr>
          </w:p>
          <w:p w:rsidR="004425D0" w:rsidRPr="00360105" w:rsidRDefault="004425D0" w:rsidP="001D3886">
            <w:pPr>
              <w:tabs>
                <w:tab w:val="left" w:pos="9923"/>
              </w:tabs>
              <w:rPr>
                <w:sz w:val="20"/>
                <w:szCs w:val="20"/>
              </w:rPr>
            </w:pPr>
          </w:p>
        </w:tc>
      </w:tr>
      <w:tr w:rsidR="004C37D2" w:rsidRPr="00360105" w:rsidTr="001D3886">
        <w:trPr>
          <w:trHeight w:val="333"/>
        </w:trPr>
        <w:tc>
          <w:tcPr>
            <w:tcW w:w="3227" w:type="dxa"/>
            <w:shd w:val="clear" w:color="auto" w:fill="auto"/>
          </w:tcPr>
          <w:p w:rsidR="004C37D2" w:rsidRPr="00360105" w:rsidRDefault="00BF136D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5</w:t>
            </w:r>
            <w:r w:rsidR="004C37D2" w:rsidRPr="00360105">
              <w:rPr>
                <w:sz w:val="20"/>
                <w:szCs w:val="20"/>
              </w:rPr>
              <w:t xml:space="preserve">. Потенциально возможная мощность мусорообрабатывающих предприятий, созданных в результате реализации пилотного проекта для города Новосибирска </w:t>
            </w:r>
            <w:r w:rsidR="004C37D2" w:rsidRPr="00360105">
              <w:rPr>
                <w:sz w:val="20"/>
                <w:szCs w:val="20"/>
              </w:rPr>
              <w:lastRenderedPageBreak/>
              <w:t>и Новосибирской агломерации Новосибирской области (тыс. тонн отходов/год)</w:t>
            </w:r>
          </w:p>
        </w:tc>
        <w:tc>
          <w:tcPr>
            <w:tcW w:w="1276" w:type="dxa"/>
            <w:shd w:val="clear" w:color="auto" w:fill="auto"/>
          </w:tcPr>
          <w:p w:rsidR="004C37D2" w:rsidRPr="00360105" w:rsidRDefault="004C37D2" w:rsidP="001D3886">
            <w:pPr>
              <w:tabs>
                <w:tab w:val="left" w:pos="9923"/>
              </w:tabs>
              <w:jc w:val="center"/>
              <w:rPr>
                <w:i/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lastRenderedPageBreak/>
              <w:t>квартальная</w:t>
            </w:r>
          </w:p>
        </w:tc>
        <w:tc>
          <w:tcPr>
            <w:tcW w:w="2126" w:type="dxa"/>
            <w:shd w:val="clear" w:color="auto" w:fill="auto"/>
          </w:tcPr>
          <w:p w:rsidR="004C37D2" w:rsidRPr="00360105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нарастающим итогом </w:t>
            </w:r>
          </w:p>
        </w:tc>
        <w:tc>
          <w:tcPr>
            <w:tcW w:w="4536" w:type="dxa"/>
            <w:shd w:val="clear" w:color="auto" w:fill="auto"/>
          </w:tcPr>
          <w:p w:rsidR="004C37D2" w:rsidRPr="00360105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1. Плановое значение принято в соответствии с </w:t>
            </w:r>
            <w:r w:rsidRPr="00360105">
              <w:rPr>
                <w:kern w:val="28"/>
                <w:sz w:val="20"/>
                <w:szCs w:val="20"/>
              </w:rPr>
              <w:t xml:space="preserve">Концессионным соглашением в отношении создания и эксплуатации системы коммунальной инфраструктуры – объектов, используемых для обработки, обезвреживания и захоронения твердых коммунальных отходов в Новосибирской </w:t>
            </w:r>
            <w:r w:rsidRPr="00360105">
              <w:rPr>
                <w:kern w:val="28"/>
                <w:sz w:val="20"/>
                <w:szCs w:val="20"/>
              </w:rPr>
              <w:lastRenderedPageBreak/>
              <w:t>области, заключенным МЖКХиЭ НСО с ООО «Экология-Новосибирск» 22.07.2016</w:t>
            </w:r>
            <w:r w:rsidRPr="00360105">
              <w:rPr>
                <w:sz w:val="20"/>
                <w:szCs w:val="20"/>
              </w:rPr>
              <w:t>.</w:t>
            </w:r>
          </w:p>
          <w:p w:rsidR="004C37D2" w:rsidRPr="00360105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2. Фактическое значение создаваемых предприятий определяется проектной документацией на строительство, актом ввода их в эксплуатацию. </w:t>
            </w:r>
          </w:p>
          <w:p w:rsidR="00C03411" w:rsidRPr="00360105" w:rsidRDefault="00C03411" w:rsidP="001D3886">
            <w:pPr>
              <w:tabs>
                <w:tab w:val="left" w:pos="9923"/>
              </w:tabs>
              <w:jc w:val="both"/>
              <w:rPr>
                <w:i/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Расчет производится в рамках мероприятия 1.1</w:t>
            </w:r>
          </w:p>
        </w:tc>
        <w:tc>
          <w:tcPr>
            <w:tcW w:w="4819" w:type="dxa"/>
            <w:shd w:val="clear" w:color="auto" w:fill="auto"/>
          </w:tcPr>
          <w:p w:rsidR="004C37D2" w:rsidRPr="00360105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lastRenderedPageBreak/>
              <w:t>1.</w:t>
            </w:r>
            <w:r w:rsidRPr="00360105">
              <w:t xml:space="preserve"> </w:t>
            </w:r>
            <w:r w:rsidRPr="00360105">
              <w:rPr>
                <w:sz w:val="20"/>
                <w:szCs w:val="20"/>
              </w:rPr>
              <w:t>Концессионное соглашение в отношении создания и эксплуатации системы коммунальной инфраструктуры – объектов, используемых для обработки, обезвреживания и захоронения твердых коммунальных отходов в Новосибирской области, заключенное МЖКХиЭ НСО с ООО «Экология-</w:t>
            </w:r>
            <w:r w:rsidRPr="00360105">
              <w:rPr>
                <w:sz w:val="20"/>
                <w:szCs w:val="20"/>
              </w:rPr>
              <w:lastRenderedPageBreak/>
              <w:t>Новосибирск» 22.07.2016.</w:t>
            </w:r>
          </w:p>
          <w:p w:rsidR="004C37D2" w:rsidRPr="00360105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2. Проектная документация, акт ввода в эксплуатацию предприятия.</w:t>
            </w:r>
          </w:p>
          <w:p w:rsidR="004425D0" w:rsidRPr="00360105" w:rsidRDefault="004425D0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</w:tr>
      <w:tr w:rsidR="004C37D2" w:rsidRPr="00360105" w:rsidTr="001D3886">
        <w:trPr>
          <w:trHeight w:val="333"/>
        </w:trPr>
        <w:tc>
          <w:tcPr>
            <w:tcW w:w="3227" w:type="dxa"/>
            <w:shd w:val="clear" w:color="auto" w:fill="auto"/>
          </w:tcPr>
          <w:p w:rsidR="004C37D2" w:rsidRPr="00360105" w:rsidRDefault="00B35827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lastRenderedPageBreak/>
              <w:t>6</w:t>
            </w:r>
            <w:r w:rsidR="004C37D2" w:rsidRPr="00360105">
              <w:rPr>
                <w:sz w:val="20"/>
                <w:szCs w:val="20"/>
              </w:rPr>
              <w:t>. </w:t>
            </w:r>
            <w:r w:rsidR="00940AC4" w:rsidRPr="00360105">
              <w:rPr>
                <w:sz w:val="20"/>
                <w:szCs w:val="20"/>
              </w:rPr>
              <w:t xml:space="preserve">Доля организаций в сфере обращения с отходами, деятельность которых в единой системе регулируется региональным оператором по обращению с твердыми коммунальными отходами </w:t>
            </w:r>
            <w:r w:rsidR="004C37D2" w:rsidRPr="00360105">
              <w:rPr>
                <w:sz w:val="20"/>
                <w:szCs w:val="20"/>
              </w:rPr>
              <w:t>(%)</w:t>
            </w:r>
          </w:p>
        </w:tc>
        <w:tc>
          <w:tcPr>
            <w:tcW w:w="1276" w:type="dxa"/>
            <w:shd w:val="clear" w:color="auto" w:fill="auto"/>
          </w:tcPr>
          <w:p w:rsidR="004C37D2" w:rsidRPr="00360105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квартальная</w:t>
            </w:r>
          </w:p>
        </w:tc>
        <w:tc>
          <w:tcPr>
            <w:tcW w:w="2126" w:type="dxa"/>
            <w:shd w:val="clear" w:color="auto" w:fill="auto"/>
          </w:tcPr>
          <w:p w:rsidR="004C37D2" w:rsidRPr="00360105" w:rsidRDefault="004C37D2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нарастающим итогом </w:t>
            </w:r>
          </w:p>
        </w:tc>
        <w:tc>
          <w:tcPr>
            <w:tcW w:w="4536" w:type="dxa"/>
            <w:shd w:val="clear" w:color="auto" w:fill="auto"/>
          </w:tcPr>
          <w:p w:rsidR="004C37D2" w:rsidRPr="00360105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1. Плановое значение принимается по количеству организаций, имеющих лицензию на </w:t>
            </w:r>
            <w:r w:rsidR="006974FB" w:rsidRPr="00360105">
              <w:rPr>
                <w:sz w:val="20"/>
                <w:szCs w:val="20"/>
              </w:rPr>
              <w:t xml:space="preserve">захоронение, </w:t>
            </w:r>
            <w:r w:rsidR="00B66D5F" w:rsidRPr="00360105">
              <w:rPr>
                <w:sz w:val="20"/>
                <w:szCs w:val="20"/>
              </w:rPr>
              <w:t xml:space="preserve">обработку, </w:t>
            </w:r>
            <w:r w:rsidRPr="00360105">
              <w:rPr>
                <w:sz w:val="20"/>
                <w:szCs w:val="20"/>
              </w:rPr>
              <w:t xml:space="preserve">утилизацию и </w:t>
            </w:r>
            <w:r w:rsidR="00B66D5F" w:rsidRPr="00360105">
              <w:rPr>
                <w:sz w:val="20"/>
                <w:szCs w:val="20"/>
              </w:rPr>
              <w:t>обезвреживания твердых коммунальных отходов,</w:t>
            </w:r>
            <w:r w:rsidRPr="00360105">
              <w:rPr>
                <w:sz w:val="20"/>
                <w:szCs w:val="20"/>
              </w:rPr>
              <w:t xml:space="preserve"> зафиксированное на </w:t>
            </w:r>
            <w:r w:rsidR="00B66D5F" w:rsidRPr="00360105">
              <w:rPr>
                <w:sz w:val="20"/>
                <w:szCs w:val="20"/>
              </w:rPr>
              <w:t>01.01.2018.</w:t>
            </w:r>
          </w:p>
          <w:p w:rsidR="004C37D2" w:rsidRPr="00360105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2. Фактическое значение определяется по факту заключенных контрактов и договоров между организациями в сфере обращения с отходами и Региональным оператором.</w:t>
            </w:r>
          </w:p>
          <w:p w:rsidR="00E569B4" w:rsidRPr="00360105" w:rsidRDefault="00941285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Расчет производится в рамках мероприятия 2.3</w:t>
            </w:r>
          </w:p>
        </w:tc>
        <w:tc>
          <w:tcPr>
            <w:tcW w:w="4819" w:type="dxa"/>
            <w:shd w:val="clear" w:color="auto" w:fill="auto"/>
          </w:tcPr>
          <w:p w:rsidR="004C37D2" w:rsidRPr="00360105" w:rsidRDefault="004C37D2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Данные департамента природных ресурсов и охраны окружающей среды Новосибирской области,</w:t>
            </w:r>
            <w:r w:rsidR="009B0640" w:rsidRPr="00360105">
              <w:rPr>
                <w:sz w:val="20"/>
                <w:szCs w:val="20"/>
              </w:rPr>
              <w:t xml:space="preserve"> министерства </w:t>
            </w:r>
            <w:r w:rsidR="00A42CBF" w:rsidRPr="00360105">
              <w:rPr>
                <w:sz w:val="20"/>
                <w:szCs w:val="20"/>
              </w:rPr>
              <w:t xml:space="preserve">природных ресурсов и экологии Новосибирской области, </w:t>
            </w:r>
            <w:r w:rsidRPr="00360105">
              <w:rPr>
                <w:sz w:val="20"/>
                <w:szCs w:val="20"/>
              </w:rPr>
              <w:t>отчетность Регионального оператора</w:t>
            </w:r>
          </w:p>
          <w:p w:rsidR="005E5CF7" w:rsidRPr="00360105" w:rsidRDefault="005E5CF7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  <w:p w:rsidR="005E5CF7" w:rsidRPr="00360105" w:rsidRDefault="005E5CF7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</w:tr>
      <w:tr w:rsidR="00893323" w:rsidRPr="00360105" w:rsidTr="001D3886">
        <w:trPr>
          <w:trHeight w:val="333"/>
        </w:trPr>
        <w:tc>
          <w:tcPr>
            <w:tcW w:w="3227" w:type="dxa"/>
            <w:shd w:val="clear" w:color="auto" w:fill="auto"/>
          </w:tcPr>
          <w:p w:rsidR="00893323" w:rsidRPr="00360105" w:rsidRDefault="008B3E2B" w:rsidP="00C81CDE">
            <w:pPr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П4</w:t>
            </w:r>
            <w:r w:rsidR="00893323" w:rsidRPr="00360105">
              <w:rPr>
                <w:sz w:val="20"/>
                <w:szCs w:val="20"/>
              </w:rPr>
              <w:t>. Наличие регионального оператора по обращению с твердыми коммунальными отходами (ед.)</w:t>
            </w:r>
          </w:p>
        </w:tc>
        <w:tc>
          <w:tcPr>
            <w:tcW w:w="1276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квартальная</w:t>
            </w:r>
          </w:p>
        </w:tc>
        <w:tc>
          <w:tcPr>
            <w:tcW w:w="2126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ежегодно</w:t>
            </w:r>
          </w:p>
        </w:tc>
        <w:tc>
          <w:tcPr>
            <w:tcW w:w="4536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1. Плановое значение принимается согласно порядку проведения конкурса отбора региональных операторов по обращению с твердыми коммунальными отходами (далее – ТКО).</w:t>
            </w:r>
          </w:p>
          <w:p w:rsidR="00486F26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2. Фактическое значение по результатам заключенных соглашений между МЖКХиЭ НСО и региональными операторами.</w:t>
            </w:r>
          </w:p>
          <w:p w:rsidR="00486F26" w:rsidRPr="00360105" w:rsidRDefault="00DC0929" w:rsidP="001D3886">
            <w:pPr>
              <w:tabs>
                <w:tab w:val="left" w:pos="9923"/>
              </w:tabs>
              <w:jc w:val="both"/>
              <w:rPr>
                <w:i/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Расчет производится в рамках мероприятия 2.3</w:t>
            </w:r>
          </w:p>
        </w:tc>
        <w:tc>
          <w:tcPr>
            <w:tcW w:w="4819" w:type="dxa"/>
            <w:shd w:val="clear" w:color="auto" w:fill="auto"/>
          </w:tcPr>
          <w:p w:rsidR="00893323" w:rsidRPr="00360105" w:rsidRDefault="00B05204" w:rsidP="001D388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60105">
              <w:rPr>
                <w:sz w:val="20"/>
                <w:szCs w:val="20"/>
              </w:rPr>
              <w:t>1.Плановое значение определено</w:t>
            </w:r>
            <w:r w:rsidR="00893323" w:rsidRPr="00360105">
              <w:rPr>
                <w:sz w:val="20"/>
                <w:szCs w:val="20"/>
              </w:rPr>
              <w:t xml:space="preserve"> в соответствии с требованиями  </w:t>
            </w:r>
            <w:r w:rsidR="00893323" w:rsidRPr="00360105">
              <w:rPr>
                <w:rFonts w:eastAsiaTheme="minorHAnsi"/>
                <w:sz w:val="20"/>
                <w:szCs w:val="20"/>
                <w:lang w:eastAsia="en-US"/>
              </w:rPr>
              <w:t>Федерального закона от 24.06.1998 № 89-ФЗ «Об отходах производства и потребления».</w:t>
            </w:r>
          </w:p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2. Факт, согласно заключенных соглашений.</w:t>
            </w:r>
          </w:p>
          <w:p w:rsidR="006D0F1C" w:rsidRPr="00360105" w:rsidRDefault="006D0F1C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  <w:p w:rsidR="006D0F1C" w:rsidRPr="00360105" w:rsidRDefault="006D0F1C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</w:tr>
      <w:tr w:rsidR="00893323" w:rsidRPr="00360105" w:rsidTr="001D3886">
        <w:trPr>
          <w:trHeight w:val="333"/>
        </w:trPr>
        <w:tc>
          <w:tcPr>
            <w:tcW w:w="3227" w:type="dxa"/>
            <w:shd w:val="clear" w:color="auto" w:fill="auto"/>
          </w:tcPr>
          <w:p w:rsidR="00893323" w:rsidRPr="00360105" w:rsidRDefault="008B3E2B" w:rsidP="001D3886">
            <w:pPr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П5</w:t>
            </w:r>
            <w:r w:rsidR="00893323" w:rsidRPr="00360105">
              <w:rPr>
                <w:sz w:val="20"/>
                <w:szCs w:val="20"/>
              </w:rPr>
              <w:t>. Наличие актуализированной территориальной схемы обращения с отходами</w:t>
            </w:r>
            <w:r w:rsidR="002E282F" w:rsidRPr="00360105">
              <w:rPr>
                <w:sz w:val="20"/>
                <w:szCs w:val="20"/>
              </w:rPr>
              <w:t xml:space="preserve"> (штук)</w:t>
            </w:r>
          </w:p>
        </w:tc>
        <w:tc>
          <w:tcPr>
            <w:tcW w:w="1276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квартальная</w:t>
            </w:r>
          </w:p>
        </w:tc>
        <w:tc>
          <w:tcPr>
            <w:tcW w:w="2126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ежегодно</w:t>
            </w:r>
          </w:p>
        </w:tc>
        <w:tc>
          <w:tcPr>
            <w:tcW w:w="4536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1. Плановое значение определяется из необходимости актуализации в установленном порядке схемы обращения с отходами.</w:t>
            </w:r>
          </w:p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2. Фактическое значение определяется по факту утверждения НПА о внесении изменений в территориальную схему обращения с отходами</w:t>
            </w:r>
          </w:p>
          <w:p w:rsidR="00AE79DF" w:rsidRPr="00360105" w:rsidRDefault="00AE79DF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Расчет производится в рамках мероприятия 2.6</w:t>
            </w:r>
          </w:p>
        </w:tc>
        <w:tc>
          <w:tcPr>
            <w:tcW w:w="4819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По данным департамента природных ресурсов и охраны окружающей среды Новосибирской области</w:t>
            </w:r>
            <w:r w:rsidR="00E66EEA" w:rsidRPr="00360105">
              <w:rPr>
                <w:sz w:val="20"/>
                <w:szCs w:val="20"/>
              </w:rPr>
              <w:t xml:space="preserve">, </w:t>
            </w:r>
            <w:r w:rsidR="00383980" w:rsidRPr="00360105">
              <w:rPr>
                <w:sz w:val="20"/>
                <w:szCs w:val="20"/>
              </w:rPr>
              <w:t>м</w:t>
            </w:r>
            <w:r w:rsidR="00E66EEA" w:rsidRPr="00360105">
              <w:rPr>
                <w:sz w:val="20"/>
                <w:szCs w:val="20"/>
              </w:rPr>
              <w:t>инистерства природных ресурсов и экологии Новосибирской области</w:t>
            </w:r>
            <w:r w:rsidRPr="00360105">
              <w:rPr>
                <w:sz w:val="20"/>
                <w:szCs w:val="20"/>
              </w:rPr>
              <w:t>;</w:t>
            </w:r>
          </w:p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НПА о внесении изменений в территориальную схему обращения с отходами</w:t>
            </w:r>
          </w:p>
          <w:p w:rsidR="006D0F1C" w:rsidRPr="00360105" w:rsidRDefault="006D0F1C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</w:tr>
      <w:tr w:rsidR="00893323" w:rsidRPr="00360105" w:rsidTr="001D3886">
        <w:trPr>
          <w:trHeight w:val="333"/>
        </w:trPr>
        <w:tc>
          <w:tcPr>
            <w:tcW w:w="3227" w:type="dxa"/>
            <w:shd w:val="clear" w:color="auto" w:fill="auto"/>
          </w:tcPr>
          <w:p w:rsidR="00893323" w:rsidRPr="00360105" w:rsidRDefault="00370A1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7</w:t>
            </w:r>
            <w:r w:rsidR="00893323" w:rsidRPr="00360105">
              <w:rPr>
                <w:sz w:val="20"/>
                <w:szCs w:val="20"/>
              </w:rPr>
              <w:t>. </w:t>
            </w:r>
            <w:r w:rsidR="0075654C" w:rsidRPr="00360105">
              <w:rPr>
                <w:sz w:val="20"/>
                <w:szCs w:val="20"/>
              </w:rPr>
              <w:t xml:space="preserve">Доля муниципальных районов и городских округов Новосибирской области, обеспеченных полигонами твердых коммунальных отходов, отвечающими установленным требованиям, от общего количества муниципальных </w:t>
            </w:r>
            <w:r w:rsidR="0075654C" w:rsidRPr="00360105">
              <w:rPr>
                <w:sz w:val="20"/>
                <w:szCs w:val="20"/>
              </w:rPr>
              <w:lastRenderedPageBreak/>
              <w:t xml:space="preserve">районов и городских округов Новосибирской области </w:t>
            </w:r>
            <w:r w:rsidR="00893323" w:rsidRPr="00360105">
              <w:rPr>
                <w:sz w:val="20"/>
                <w:szCs w:val="20"/>
              </w:rPr>
              <w:t>(%)</w:t>
            </w:r>
          </w:p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lastRenderedPageBreak/>
              <w:t>квартальная</w:t>
            </w:r>
          </w:p>
        </w:tc>
        <w:tc>
          <w:tcPr>
            <w:tcW w:w="2126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нарастающим итогом </w:t>
            </w:r>
          </w:p>
        </w:tc>
        <w:tc>
          <w:tcPr>
            <w:tcW w:w="4536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1. Плановое значение определяется исходя из фактически сложившихся показателей до начала реализации и с учетом планируемых к реализации мероприятий в соответствии с территориальной схемой обращения с отходами, в том числе с ТКО, Новосибирской области, утвержденной постановлением Правительства НСО от 26.09.2016 № 292-п.</w:t>
            </w:r>
          </w:p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lastRenderedPageBreak/>
              <w:t>2. Фактическое значение определяется по формуле:</w:t>
            </w:r>
            <w:r w:rsidRPr="00360105">
              <w:rPr>
                <w:sz w:val="20"/>
                <w:szCs w:val="20"/>
              </w:rPr>
              <w:tab/>
            </w:r>
            <w:r w:rsidRPr="00360105">
              <w:rPr>
                <w:sz w:val="20"/>
                <w:szCs w:val="20"/>
              </w:rPr>
              <w:tab/>
            </w:r>
            <w:r w:rsidRPr="00360105">
              <w:rPr>
                <w:sz w:val="20"/>
                <w:szCs w:val="20"/>
              </w:rPr>
              <w:tab/>
            </w:r>
            <w:r w:rsidRPr="00360105">
              <w:rPr>
                <w:sz w:val="20"/>
                <w:szCs w:val="20"/>
              </w:rPr>
              <w:tab/>
            </w:r>
            <w:r w:rsidRPr="00360105">
              <w:rPr>
                <w:sz w:val="20"/>
                <w:szCs w:val="20"/>
              </w:rPr>
              <w:tab/>
            </w:r>
            <w:r w:rsidRPr="00360105">
              <w:rPr>
                <w:sz w:val="20"/>
                <w:szCs w:val="20"/>
              </w:rPr>
              <w:tab/>
            </w:r>
            <w:r w:rsidRPr="00360105">
              <w:rPr>
                <w:sz w:val="20"/>
                <w:szCs w:val="20"/>
              </w:rPr>
              <w:tab/>
            </w:r>
            <w:r w:rsidRPr="00360105">
              <w:rPr>
                <w:sz w:val="20"/>
                <w:szCs w:val="20"/>
              </w:rPr>
              <w:tab/>
            </w:r>
            <w:r w:rsidRPr="00360105">
              <w:rPr>
                <w:sz w:val="20"/>
                <w:szCs w:val="20"/>
              </w:rPr>
              <w:tab/>
            </w:r>
          </w:p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Птко(%)=(МР + ГО)/34*100%;</w:t>
            </w:r>
          </w:p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Птко – доля муниципальных районов и городских округов, обеспеченных полигонами ТКО, отвечающими установленным требованиям;</w:t>
            </w:r>
          </w:p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МР – муниципальные районы, обеспеченные полигонами ТКО, отвечающие установленным требованиям;</w:t>
            </w:r>
          </w:p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ГО – городские округа, обеспеченные полигонами ТКО;</w:t>
            </w:r>
          </w:p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Доля муниципальных районов (далее – МР) и городских округов (далее – ГО) Новосибирской области, обеспеченных полигонами, отвечающими установленным требованиям рассчитывается как отношение количества МР и ГО, обеспеченных полигонами в расчетном году к общему количеству, кроме г. Новосибирска.</w:t>
            </w:r>
            <w:r w:rsidRPr="00360105">
              <w:rPr>
                <w:sz w:val="20"/>
                <w:szCs w:val="20"/>
              </w:rPr>
              <w:tab/>
            </w:r>
            <w:r w:rsidRPr="00360105">
              <w:rPr>
                <w:sz w:val="20"/>
                <w:szCs w:val="20"/>
              </w:rPr>
              <w:tab/>
            </w:r>
            <w:r w:rsidRPr="00360105">
              <w:rPr>
                <w:sz w:val="20"/>
                <w:szCs w:val="20"/>
              </w:rPr>
              <w:tab/>
            </w:r>
            <w:r w:rsidRPr="00360105">
              <w:rPr>
                <w:sz w:val="20"/>
                <w:szCs w:val="20"/>
              </w:rPr>
              <w:tab/>
            </w:r>
            <w:r w:rsidRPr="00360105">
              <w:rPr>
                <w:sz w:val="20"/>
                <w:szCs w:val="20"/>
              </w:rPr>
              <w:tab/>
            </w:r>
            <w:r w:rsidRPr="00360105">
              <w:rPr>
                <w:sz w:val="20"/>
                <w:szCs w:val="20"/>
              </w:rPr>
              <w:tab/>
            </w:r>
            <w:r w:rsidRPr="00360105">
              <w:rPr>
                <w:sz w:val="20"/>
                <w:szCs w:val="20"/>
              </w:rPr>
              <w:tab/>
            </w:r>
            <w:r w:rsidRPr="00360105">
              <w:rPr>
                <w:sz w:val="20"/>
                <w:szCs w:val="20"/>
              </w:rPr>
              <w:tab/>
            </w:r>
            <w:r w:rsidRPr="00360105">
              <w:rPr>
                <w:sz w:val="20"/>
                <w:szCs w:val="20"/>
              </w:rPr>
              <w:tab/>
            </w:r>
          </w:p>
          <w:p w:rsidR="00430F27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Расчет выполняется, исходя из следующего положения: муниципальный район или городской округ Новосибирской области считается обеспеченным полигоном в год окончания его строительства</w:t>
            </w:r>
            <w:r w:rsidR="00B66D5F" w:rsidRPr="00360105">
              <w:rPr>
                <w:sz w:val="20"/>
                <w:szCs w:val="20"/>
              </w:rPr>
              <w:t>, с учетом объектов</w:t>
            </w:r>
            <w:r w:rsidR="00C74965" w:rsidRPr="00360105">
              <w:rPr>
                <w:sz w:val="20"/>
                <w:szCs w:val="20"/>
              </w:rPr>
              <w:t>,</w:t>
            </w:r>
            <w:r w:rsidR="00B66D5F" w:rsidRPr="00360105">
              <w:rPr>
                <w:sz w:val="20"/>
                <w:szCs w:val="20"/>
              </w:rPr>
              <w:t xml:space="preserve"> включаемых в ГРОРО.</w:t>
            </w:r>
          </w:p>
          <w:p w:rsidR="00893323" w:rsidRPr="00360105" w:rsidRDefault="00430F27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Расчет производится в рамках мероприятия 3.1</w:t>
            </w:r>
            <w:r w:rsidR="00893323" w:rsidRPr="00360105">
              <w:rPr>
                <w:sz w:val="20"/>
                <w:szCs w:val="20"/>
              </w:rPr>
              <w:tab/>
            </w:r>
            <w:r w:rsidR="00893323" w:rsidRPr="00360105">
              <w:rPr>
                <w:sz w:val="20"/>
                <w:szCs w:val="20"/>
              </w:rPr>
              <w:tab/>
            </w:r>
            <w:r w:rsidR="00893323" w:rsidRPr="00360105">
              <w:rPr>
                <w:sz w:val="20"/>
                <w:szCs w:val="20"/>
              </w:rPr>
              <w:tab/>
            </w:r>
            <w:r w:rsidR="00893323" w:rsidRPr="00360105">
              <w:rPr>
                <w:sz w:val="20"/>
                <w:szCs w:val="20"/>
              </w:rPr>
              <w:tab/>
            </w:r>
            <w:r w:rsidR="00893323" w:rsidRPr="00360105">
              <w:rPr>
                <w:sz w:val="20"/>
                <w:szCs w:val="20"/>
              </w:rPr>
              <w:tab/>
            </w:r>
            <w:r w:rsidR="00893323" w:rsidRPr="00360105">
              <w:rPr>
                <w:sz w:val="20"/>
                <w:szCs w:val="20"/>
              </w:rPr>
              <w:tab/>
            </w:r>
            <w:r w:rsidR="00893323" w:rsidRPr="00360105">
              <w:rPr>
                <w:sz w:val="20"/>
                <w:szCs w:val="20"/>
              </w:rPr>
              <w:tab/>
            </w:r>
            <w:r w:rsidR="00893323" w:rsidRPr="00360105">
              <w:rPr>
                <w:sz w:val="20"/>
                <w:szCs w:val="20"/>
              </w:rPr>
              <w:tab/>
            </w:r>
            <w:r w:rsidR="00893323" w:rsidRPr="00360105">
              <w:rPr>
                <w:sz w:val="20"/>
                <w:szCs w:val="20"/>
              </w:rPr>
              <w:tab/>
            </w:r>
          </w:p>
        </w:tc>
        <w:tc>
          <w:tcPr>
            <w:tcW w:w="4819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lastRenderedPageBreak/>
              <w:t>За планово</w:t>
            </w:r>
            <w:r w:rsidR="00B05204" w:rsidRPr="00360105">
              <w:rPr>
                <w:sz w:val="20"/>
                <w:szCs w:val="20"/>
              </w:rPr>
              <w:t xml:space="preserve">е значение принимается – общее </w:t>
            </w:r>
            <w:r w:rsidRPr="00360105">
              <w:rPr>
                <w:sz w:val="20"/>
                <w:szCs w:val="20"/>
              </w:rPr>
              <w:t>количество муниципальных районов и городских округов Новосибирской области (без г. Новосибирска).</w:t>
            </w:r>
          </w:p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Фактическое значение принимается</w:t>
            </w:r>
            <w:r w:rsidR="00DC6478" w:rsidRPr="00360105">
              <w:rPr>
                <w:sz w:val="20"/>
                <w:szCs w:val="20"/>
              </w:rPr>
              <w:t xml:space="preserve"> исходя из построенных объектов, с учетом </w:t>
            </w:r>
            <w:r w:rsidR="00B66D5F" w:rsidRPr="00360105">
              <w:rPr>
                <w:sz w:val="20"/>
                <w:szCs w:val="20"/>
              </w:rPr>
              <w:t>включенных</w:t>
            </w:r>
            <w:r w:rsidR="00DC6478" w:rsidRPr="00360105">
              <w:rPr>
                <w:sz w:val="20"/>
                <w:szCs w:val="20"/>
              </w:rPr>
              <w:t xml:space="preserve"> в ГРОРО.</w:t>
            </w:r>
          </w:p>
          <w:p w:rsidR="00893323" w:rsidRPr="00360105" w:rsidRDefault="00893323" w:rsidP="001D3886">
            <w:pPr>
              <w:tabs>
                <w:tab w:val="left" w:pos="9923"/>
              </w:tabs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Территориальная схема обращения с отходами, в том </w:t>
            </w:r>
            <w:r w:rsidRPr="00360105">
              <w:rPr>
                <w:sz w:val="20"/>
                <w:szCs w:val="20"/>
              </w:rPr>
              <w:lastRenderedPageBreak/>
              <w:t>числе с ТКО, Новосибирской области, утвержденной постановлением Правительства НСО от 26.09.2016 № 292-п</w:t>
            </w:r>
          </w:p>
          <w:p w:rsidR="00172B60" w:rsidRPr="00360105" w:rsidRDefault="00172B60" w:rsidP="001D3886">
            <w:pPr>
              <w:tabs>
                <w:tab w:val="left" w:pos="9923"/>
              </w:tabs>
              <w:rPr>
                <w:sz w:val="20"/>
                <w:szCs w:val="20"/>
              </w:rPr>
            </w:pPr>
          </w:p>
        </w:tc>
      </w:tr>
      <w:tr w:rsidR="00893323" w:rsidRPr="00360105" w:rsidTr="001D3886">
        <w:trPr>
          <w:trHeight w:val="333"/>
        </w:trPr>
        <w:tc>
          <w:tcPr>
            <w:tcW w:w="3227" w:type="dxa"/>
            <w:shd w:val="clear" w:color="auto" w:fill="auto"/>
          </w:tcPr>
          <w:p w:rsidR="00893323" w:rsidRPr="00360105" w:rsidRDefault="00370A1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lastRenderedPageBreak/>
              <w:t>8</w:t>
            </w:r>
            <w:r w:rsidR="00893323" w:rsidRPr="00360105">
              <w:rPr>
                <w:sz w:val="20"/>
                <w:szCs w:val="20"/>
              </w:rPr>
              <w:t>. </w:t>
            </w:r>
            <w:r w:rsidR="0075654C" w:rsidRPr="00360105">
              <w:rPr>
                <w:sz w:val="20"/>
                <w:szCs w:val="20"/>
              </w:rPr>
              <w:t xml:space="preserve">Доля твердых коммунальных отходов, захораниваемых на полигонах твердых коммунальных отходов, отвечающих установленным требованиям, от количества твердых коммунальных отходов, образующихся у населения муниципальных районов и городских округов Новосибирской области </w:t>
            </w:r>
            <w:r w:rsidR="00893323" w:rsidRPr="00360105">
              <w:rPr>
                <w:sz w:val="20"/>
                <w:szCs w:val="20"/>
              </w:rPr>
              <w:t>(%)</w:t>
            </w:r>
          </w:p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квартальная</w:t>
            </w:r>
          </w:p>
        </w:tc>
        <w:tc>
          <w:tcPr>
            <w:tcW w:w="2126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4536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1. Плановое значение в соответствии с территориальной схемой обращения с отходами, в том числе с ТКО, Новосибирской области, утвержденной постановлением Правительства НСО от 26.09.2016 № 292-п. </w:t>
            </w:r>
          </w:p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2. Фактическое значение определяется исходя из численности населения, проживающего на территории, обеспеченной полигонами ТКО, отвечающими установленным требованиям, и общей численности населения, проживающего на территории Новосибирской области, с учетом нормы накопления ТКО. </w:t>
            </w:r>
          </w:p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Рассчитывается по формуле:</w:t>
            </w:r>
          </w:p>
          <w:p w:rsidR="00893323" w:rsidRPr="00360105" w:rsidRDefault="00893323" w:rsidP="001D38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60105">
              <w:rPr>
                <w:rFonts w:eastAsiaTheme="minorHAnsi"/>
                <w:sz w:val="20"/>
                <w:szCs w:val="20"/>
                <w:lang w:eastAsia="en-US"/>
              </w:rPr>
              <w:t>Птко(%) = Ртко/Дтко x 100%;</w:t>
            </w:r>
          </w:p>
          <w:p w:rsidR="00893323" w:rsidRPr="00360105" w:rsidRDefault="00893323" w:rsidP="001D38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60105">
              <w:rPr>
                <w:rFonts w:eastAsiaTheme="minorHAnsi"/>
                <w:sz w:val="20"/>
                <w:szCs w:val="20"/>
                <w:lang w:eastAsia="en-US"/>
              </w:rPr>
              <w:t>Птко – доля ТКО захораниваемых на полигонах ТКО, отвечающими установленным требованиям;</w:t>
            </w:r>
          </w:p>
          <w:p w:rsidR="00893323" w:rsidRPr="00360105" w:rsidRDefault="00893323" w:rsidP="001D38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6010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Ртко – количество отходов захораниваемых на полигонах ТКО, отвечающими установленным требованиям;</w:t>
            </w:r>
          </w:p>
          <w:p w:rsidR="00893323" w:rsidRPr="00360105" w:rsidRDefault="00893323" w:rsidP="001D38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60105">
              <w:rPr>
                <w:rFonts w:eastAsiaTheme="minorHAnsi"/>
                <w:sz w:val="20"/>
                <w:szCs w:val="20"/>
                <w:lang w:eastAsia="en-US"/>
              </w:rPr>
              <w:t>Дтко – количество отходов образующихся у населения Новосибирской области.</w:t>
            </w:r>
          </w:p>
          <w:p w:rsidR="006B0C36" w:rsidRPr="00360105" w:rsidRDefault="006B0C36" w:rsidP="001D38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60105">
              <w:rPr>
                <w:rFonts w:eastAsiaTheme="minorHAnsi"/>
                <w:sz w:val="20"/>
                <w:szCs w:val="20"/>
                <w:lang w:eastAsia="en-US"/>
              </w:rPr>
              <w:t>Расчет доли ТКО захораниваемых на полигонах отвечающими установленным требованиям ра</w:t>
            </w:r>
            <w:r w:rsidR="000750BF" w:rsidRPr="00360105"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r w:rsidRPr="00360105">
              <w:rPr>
                <w:rFonts w:eastAsiaTheme="minorHAnsi"/>
                <w:sz w:val="20"/>
                <w:szCs w:val="20"/>
                <w:lang w:eastAsia="en-US"/>
              </w:rPr>
              <w:t xml:space="preserve">считывается </w:t>
            </w:r>
            <w:r w:rsidR="00B431CF" w:rsidRPr="00360105">
              <w:rPr>
                <w:rFonts w:eastAsiaTheme="minorHAnsi"/>
                <w:sz w:val="20"/>
                <w:szCs w:val="20"/>
                <w:lang w:eastAsia="en-US"/>
              </w:rPr>
              <w:t>с учетом таких полигонов в зоне деятельности регионального оператора начиная с 01.01.2019 года.</w:t>
            </w:r>
          </w:p>
          <w:p w:rsidR="00430F27" w:rsidRPr="00360105" w:rsidRDefault="00430F27" w:rsidP="001D38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Расчет производится в рамках мероприятия 3.1</w:t>
            </w:r>
          </w:p>
        </w:tc>
        <w:tc>
          <w:tcPr>
            <w:tcW w:w="4819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lastRenderedPageBreak/>
              <w:t>Учет объемов образования ТКО не ведется, принимается условно, что норма образования ТКО по разным муниципальным образованиям одинакова и составляет 1,5 м3/год на 1 человека (по данным методических рекомендаций по формированию тарифов на услуги по уничтожению, утилизации и захоронению ТКО, утв Госстроем РФ).</w:t>
            </w:r>
          </w:p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Территориальная схема обращения с отходами, в том числе с ТКО, Новосибирской области, утвержденной постановлением Правительства НСО от 26.09.2016 № 292-п</w:t>
            </w:r>
          </w:p>
          <w:p w:rsidR="00172B60" w:rsidRPr="00360105" w:rsidRDefault="00172B60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  <w:p w:rsidR="00172B60" w:rsidRPr="00360105" w:rsidRDefault="00172B60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</w:tr>
      <w:tr w:rsidR="00893323" w:rsidRPr="00360105" w:rsidTr="001D3886">
        <w:trPr>
          <w:trHeight w:val="333"/>
        </w:trPr>
        <w:tc>
          <w:tcPr>
            <w:tcW w:w="3227" w:type="dxa"/>
            <w:shd w:val="clear" w:color="auto" w:fill="auto"/>
          </w:tcPr>
          <w:p w:rsidR="00893323" w:rsidRPr="00360105" w:rsidRDefault="00370A1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9</w:t>
            </w:r>
            <w:r w:rsidR="00893323" w:rsidRPr="00360105">
              <w:rPr>
                <w:sz w:val="20"/>
                <w:szCs w:val="20"/>
              </w:rPr>
              <w:t>. </w:t>
            </w:r>
            <w:r w:rsidR="00123DBD" w:rsidRPr="00360105">
              <w:rPr>
                <w:sz w:val="20"/>
                <w:szCs w:val="20"/>
              </w:rPr>
              <w:t xml:space="preserve">Количество полигонов твердых коммунальных отходов, отвечающих установленным требованиям </w:t>
            </w:r>
            <w:r w:rsidR="00893323" w:rsidRPr="00360105">
              <w:rPr>
                <w:sz w:val="20"/>
                <w:szCs w:val="20"/>
              </w:rPr>
              <w:t>(штук)</w:t>
            </w:r>
          </w:p>
        </w:tc>
        <w:tc>
          <w:tcPr>
            <w:tcW w:w="1276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квартальная</w:t>
            </w:r>
          </w:p>
        </w:tc>
        <w:tc>
          <w:tcPr>
            <w:tcW w:w="2126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нарастающим итогом </w:t>
            </w:r>
          </w:p>
        </w:tc>
        <w:tc>
          <w:tcPr>
            <w:tcW w:w="4536" w:type="dxa"/>
            <w:shd w:val="clear" w:color="auto" w:fill="auto"/>
          </w:tcPr>
          <w:p w:rsidR="00B05204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1. Плановое значение принято по количеству объектов включенных в Г</w:t>
            </w:r>
            <w:r w:rsidR="00B05204" w:rsidRPr="00360105">
              <w:rPr>
                <w:sz w:val="20"/>
                <w:szCs w:val="20"/>
              </w:rPr>
              <w:t xml:space="preserve">РОРО (по состоянию на 01.01.2019 год – </w:t>
            </w:r>
            <w:r w:rsidR="00785D18" w:rsidRPr="00360105">
              <w:rPr>
                <w:sz w:val="20"/>
                <w:szCs w:val="20"/>
              </w:rPr>
              <w:t>14</w:t>
            </w:r>
            <w:r w:rsidRPr="00360105">
              <w:rPr>
                <w:sz w:val="20"/>
                <w:szCs w:val="20"/>
              </w:rPr>
              <w:t xml:space="preserve"> объектов: г. Новосибирск (ЖКХ СО РАН), г. Бердск, Коченевский район (с. Прокудское</w:t>
            </w:r>
            <w:r w:rsidR="000B5200" w:rsidRPr="00360105">
              <w:rPr>
                <w:sz w:val="20"/>
                <w:szCs w:val="20"/>
              </w:rPr>
              <w:t>), Искитимский район (д. Шадрино</w:t>
            </w:r>
            <w:r w:rsidRPr="00360105">
              <w:rPr>
                <w:sz w:val="20"/>
                <w:szCs w:val="20"/>
              </w:rPr>
              <w:t>), Болотнинский район (г. Болотное), Краснозерский район (с.Колыбелька), Тогучинский район (р.п. Горный), Карасукский район (г. Карасук), Куйбышевский район (г.Куйбышев), Черепановский район (г. Черепаново), Чистоозерный район (</w:t>
            </w:r>
            <w:r w:rsidR="000B5200" w:rsidRPr="00360105">
              <w:rPr>
                <w:sz w:val="20"/>
                <w:szCs w:val="20"/>
              </w:rPr>
              <w:t>р.п. Чистоозерной), г. Искитим, г. Новосибирск (Северный проезд), Новосибирский район (с. Криводановка)</w:t>
            </w:r>
          </w:p>
          <w:p w:rsidR="00B05204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2</w:t>
            </w:r>
            <w:r w:rsidR="00B05204" w:rsidRPr="00360105">
              <w:rPr>
                <w:sz w:val="20"/>
                <w:szCs w:val="20"/>
              </w:rPr>
              <w:t xml:space="preserve">020 год – </w:t>
            </w:r>
            <w:r w:rsidR="00785D18" w:rsidRPr="00360105">
              <w:rPr>
                <w:sz w:val="20"/>
                <w:szCs w:val="20"/>
              </w:rPr>
              <w:t>15</w:t>
            </w:r>
            <w:r w:rsidRPr="00360105">
              <w:rPr>
                <w:sz w:val="20"/>
                <w:szCs w:val="20"/>
              </w:rPr>
              <w:t xml:space="preserve"> объектов: г. Новосибирск (ЖКХ СО РАН), г. Бердск, Коченевский район (с. Прокудское</w:t>
            </w:r>
            <w:r w:rsidR="00317DBF" w:rsidRPr="00360105">
              <w:rPr>
                <w:sz w:val="20"/>
                <w:szCs w:val="20"/>
              </w:rPr>
              <w:t>), Искитимский район (д. Шадрино</w:t>
            </w:r>
            <w:r w:rsidRPr="00360105">
              <w:rPr>
                <w:sz w:val="20"/>
                <w:szCs w:val="20"/>
              </w:rPr>
              <w:t xml:space="preserve">), Болотнинский район (г. Болотное), Краснозерский район (с.Колыбелька), Тогучинский район (р.п. Горный), Карасукский район (г. Карасук), Куйбышевский район (г.Куйбышев), Черепановский район (г. Черепаново), Чистоозерный район </w:t>
            </w:r>
            <w:r w:rsidR="000B5200" w:rsidRPr="00360105">
              <w:rPr>
                <w:sz w:val="20"/>
                <w:szCs w:val="20"/>
              </w:rPr>
              <w:t xml:space="preserve">(р.п. Чистоозерной), г. Искитим, </w:t>
            </w:r>
            <w:r w:rsidR="00317DBF" w:rsidRPr="00360105">
              <w:rPr>
                <w:sz w:val="20"/>
                <w:szCs w:val="20"/>
              </w:rPr>
              <w:t>, г. Новосибирск (Северный проезд), Новосибирский район (с. Криводановка)</w:t>
            </w:r>
            <w:r w:rsidR="00785D18" w:rsidRPr="00360105">
              <w:rPr>
                <w:sz w:val="20"/>
                <w:szCs w:val="20"/>
              </w:rPr>
              <w:t>, г. Новосибирск (ГБШ)</w:t>
            </w:r>
          </w:p>
          <w:p w:rsidR="00893323" w:rsidRPr="00360105" w:rsidRDefault="00B05204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2021</w:t>
            </w:r>
            <w:r w:rsidR="00317DBF" w:rsidRPr="00360105">
              <w:rPr>
                <w:sz w:val="20"/>
                <w:szCs w:val="20"/>
              </w:rPr>
              <w:t xml:space="preserve"> год – </w:t>
            </w:r>
            <w:r w:rsidR="00785D18" w:rsidRPr="00360105">
              <w:rPr>
                <w:sz w:val="20"/>
                <w:szCs w:val="20"/>
              </w:rPr>
              <w:t xml:space="preserve">15 </w:t>
            </w:r>
            <w:r w:rsidR="00893323" w:rsidRPr="00360105">
              <w:rPr>
                <w:sz w:val="20"/>
                <w:szCs w:val="20"/>
              </w:rPr>
              <w:t>объектов:</w:t>
            </w:r>
          </w:p>
          <w:p w:rsidR="00893323" w:rsidRPr="00360105" w:rsidRDefault="00785D18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г. Новосибирск (ЖКХ СО РАН), </w:t>
            </w:r>
            <w:r w:rsidR="00893323" w:rsidRPr="00360105">
              <w:rPr>
                <w:sz w:val="20"/>
                <w:szCs w:val="20"/>
              </w:rPr>
              <w:t>г. Бердск, Коченевский район (с. Прокудское), Искитимский район (д. Шадр</w:t>
            </w:r>
            <w:r w:rsidR="00317DBF" w:rsidRPr="00360105">
              <w:rPr>
                <w:sz w:val="20"/>
                <w:szCs w:val="20"/>
              </w:rPr>
              <w:t>ино</w:t>
            </w:r>
            <w:r w:rsidR="00893323" w:rsidRPr="00360105">
              <w:rPr>
                <w:sz w:val="20"/>
                <w:szCs w:val="20"/>
              </w:rPr>
              <w:t xml:space="preserve">), Болотнинский район </w:t>
            </w:r>
            <w:r w:rsidR="00893323" w:rsidRPr="00360105">
              <w:rPr>
                <w:sz w:val="20"/>
                <w:szCs w:val="20"/>
              </w:rPr>
              <w:lastRenderedPageBreak/>
              <w:t>(г. Болотное), Краснозерский район (с.Колыбелька), Тогучинский район (р.п. Горный), Карасукский район (г. Карасук), Чистоозерный район (р.п. Чистоозерное), Чере</w:t>
            </w:r>
            <w:r w:rsidR="00B05204" w:rsidRPr="00360105">
              <w:rPr>
                <w:sz w:val="20"/>
                <w:szCs w:val="20"/>
              </w:rPr>
              <w:t>пановский район (г. Черепаново),</w:t>
            </w:r>
            <w:r w:rsidR="00893323" w:rsidRPr="00360105">
              <w:t xml:space="preserve"> </w:t>
            </w:r>
            <w:r w:rsidR="00893323" w:rsidRPr="00360105">
              <w:rPr>
                <w:sz w:val="20"/>
                <w:szCs w:val="20"/>
              </w:rPr>
              <w:t xml:space="preserve">Куйбышевский район (г. </w:t>
            </w:r>
            <w:r w:rsidR="007A2C4D" w:rsidRPr="00360105">
              <w:rPr>
                <w:sz w:val="20"/>
                <w:szCs w:val="20"/>
              </w:rPr>
              <w:t>Куйбышев), г. Искитим,</w:t>
            </w:r>
            <w:r w:rsidR="00893323" w:rsidRPr="00360105">
              <w:rPr>
                <w:sz w:val="20"/>
                <w:szCs w:val="20"/>
              </w:rPr>
              <w:t xml:space="preserve"> Северный район (с.</w:t>
            </w:r>
            <w:r w:rsidR="00317DBF" w:rsidRPr="00360105">
              <w:rPr>
                <w:sz w:val="20"/>
                <w:szCs w:val="20"/>
              </w:rPr>
              <w:t xml:space="preserve"> Северное), г. Новосибирск (Северный проезд), Новосибирский район (с. Криводановка)</w:t>
            </w:r>
            <w:r w:rsidRPr="00360105">
              <w:rPr>
                <w:sz w:val="20"/>
                <w:szCs w:val="20"/>
              </w:rPr>
              <w:t>, г. Новосибирск (ГБШ)</w:t>
            </w:r>
          </w:p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2. Фактическое значение определяется прямым счетом, по количеству включенных по состоянию на начало отчетного периода полигонов в ГРОРО и включенных в ГРОРО в течение отчетного периода. </w:t>
            </w:r>
          </w:p>
          <w:p w:rsidR="00430F27" w:rsidRPr="00360105" w:rsidRDefault="00430F27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Расчет производится в рамках мероприятия 3.1</w:t>
            </w:r>
          </w:p>
        </w:tc>
        <w:tc>
          <w:tcPr>
            <w:tcW w:w="4819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lastRenderedPageBreak/>
              <w:t>Акт ввода в эксплуатацию, приказ Росприродназора о включении полигона ТКО в ГРОРО</w:t>
            </w:r>
          </w:p>
          <w:p w:rsidR="00893323" w:rsidRPr="00360105" w:rsidRDefault="00893323" w:rsidP="001D3886">
            <w:pPr>
              <w:tabs>
                <w:tab w:val="left" w:pos="9923"/>
              </w:tabs>
              <w:rPr>
                <w:sz w:val="20"/>
                <w:szCs w:val="20"/>
              </w:rPr>
            </w:pPr>
          </w:p>
          <w:p w:rsidR="00893323" w:rsidRPr="00360105" w:rsidRDefault="00893323" w:rsidP="001D3886">
            <w:pPr>
              <w:tabs>
                <w:tab w:val="left" w:pos="9923"/>
              </w:tabs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С 2018 года отвечающие установленным требованиям считаются те полигоны, которые включены в ГРОРО.</w:t>
            </w:r>
          </w:p>
          <w:p w:rsidR="00893323" w:rsidRPr="00360105" w:rsidRDefault="00893323" w:rsidP="001D3886">
            <w:pPr>
              <w:tabs>
                <w:tab w:val="left" w:pos="9923"/>
              </w:tabs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Территориальная схема обращения с отходами, в том числе с ТКО, Новосибирской области, утвержденной постановлением Правительства НСО от 26.09.2016 № 292-п</w:t>
            </w:r>
          </w:p>
          <w:p w:rsidR="00172B60" w:rsidRPr="00360105" w:rsidRDefault="00172B60" w:rsidP="001D3886">
            <w:pPr>
              <w:tabs>
                <w:tab w:val="left" w:pos="9923"/>
              </w:tabs>
              <w:rPr>
                <w:sz w:val="20"/>
                <w:szCs w:val="20"/>
              </w:rPr>
            </w:pPr>
          </w:p>
          <w:p w:rsidR="00172B60" w:rsidRPr="00360105" w:rsidRDefault="00172B60" w:rsidP="001D3886">
            <w:pPr>
              <w:tabs>
                <w:tab w:val="left" w:pos="9923"/>
              </w:tabs>
              <w:rPr>
                <w:sz w:val="20"/>
                <w:szCs w:val="20"/>
              </w:rPr>
            </w:pPr>
          </w:p>
          <w:p w:rsidR="00172B60" w:rsidRPr="00360105" w:rsidRDefault="00172B60" w:rsidP="001D3886">
            <w:pPr>
              <w:tabs>
                <w:tab w:val="left" w:pos="9923"/>
              </w:tabs>
              <w:rPr>
                <w:sz w:val="20"/>
                <w:szCs w:val="20"/>
              </w:rPr>
            </w:pPr>
          </w:p>
        </w:tc>
      </w:tr>
      <w:tr w:rsidR="00893323" w:rsidRPr="00360105" w:rsidTr="001D3886">
        <w:trPr>
          <w:trHeight w:val="333"/>
        </w:trPr>
        <w:tc>
          <w:tcPr>
            <w:tcW w:w="3227" w:type="dxa"/>
            <w:shd w:val="clear" w:color="auto" w:fill="auto"/>
          </w:tcPr>
          <w:p w:rsidR="00893323" w:rsidRPr="00360105" w:rsidRDefault="008B3E2B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П6</w:t>
            </w:r>
            <w:r w:rsidR="00893323" w:rsidRPr="00360105">
              <w:rPr>
                <w:sz w:val="20"/>
                <w:szCs w:val="20"/>
              </w:rPr>
              <w:t xml:space="preserve">. Количество строящихся (реконструируемых) полигонов </w:t>
            </w:r>
            <w:r w:rsidR="00123DBD" w:rsidRPr="00360105">
              <w:rPr>
                <w:sz w:val="20"/>
                <w:szCs w:val="20"/>
              </w:rPr>
              <w:t>твердых коммунальных отходов</w:t>
            </w:r>
            <w:r w:rsidR="00893323" w:rsidRPr="00360105">
              <w:rPr>
                <w:sz w:val="20"/>
                <w:szCs w:val="20"/>
              </w:rPr>
              <w:t>, отвечающих установленным требованиям (штук)</w:t>
            </w:r>
          </w:p>
        </w:tc>
        <w:tc>
          <w:tcPr>
            <w:tcW w:w="1276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квартальная</w:t>
            </w:r>
          </w:p>
        </w:tc>
        <w:tc>
          <w:tcPr>
            <w:tcW w:w="2126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ежегодно</w:t>
            </w:r>
          </w:p>
        </w:tc>
        <w:tc>
          <w:tcPr>
            <w:tcW w:w="4536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1. Плановое значение принято по количеству планируемых к строительству (реконструкции) полигонов ТКО, исходя из наличия разработанной ПСД и возможностей бюджета Новосибирской области.</w:t>
            </w:r>
          </w:p>
          <w:p w:rsidR="008A65E9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2. Фактическое значение определяется прямым счетом на конец отчетного периода.</w:t>
            </w:r>
          </w:p>
          <w:p w:rsidR="008A65E9" w:rsidRPr="00360105" w:rsidRDefault="008A65E9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Расчет производится в рамках мероприятия </w:t>
            </w:r>
            <w:r w:rsidR="004E3553" w:rsidRPr="00360105">
              <w:rPr>
                <w:sz w:val="20"/>
                <w:szCs w:val="20"/>
              </w:rPr>
              <w:t>3</w:t>
            </w:r>
            <w:r w:rsidRPr="00360105">
              <w:rPr>
                <w:sz w:val="20"/>
                <w:szCs w:val="20"/>
              </w:rPr>
              <w:t>.1</w:t>
            </w:r>
          </w:p>
        </w:tc>
        <w:tc>
          <w:tcPr>
            <w:tcW w:w="4819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Все величины расчетные, определяются на основании данных МО и мониторинга МЖКХиЭ НСО</w:t>
            </w:r>
          </w:p>
          <w:p w:rsidR="00A8122A" w:rsidRPr="00360105" w:rsidRDefault="00A8122A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  <w:p w:rsidR="00A8122A" w:rsidRPr="00360105" w:rsidRDefault="00A8122A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</w:tr>
      <w:tr w:rsidR="00F3668F" w:rsidRPr="00360105" w:rsidTr="001D3886">
        <w:trPr>
          <w:trHeight w:val="333"/>
        </w:trPr>
        <w:tc>
          <w:tcPr>
            <w:tcW w:w="3227" w:type="dxa"/>
            <w:shd w:val="clear" w:color="auto" w:fill="auto"/>
          </w:tcPr>
          <w:p w:rsidR="00F3668F" w:rsidRPr="00360105" w:rsidRDefault="007903C9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10</w:t>
            </w:r>
            <w:r w:rsidR="009220AD" w:rsidRPr="00360105">
              <w:rPr>
                <w:sz w:val="20"/>
                <w:szCs w:val="20"/>
              </w:rPr>
              <w:t>. </w:t>
            </w:r>
            <w:r w:rsidR="00F3668F" w:rsidRPr="00360105">
              <w:rPr>
                <w:sz w:val="20"/>
                <w:szCs w:val="20"/>
              </w:rPr>
              <w:t>Количество площадок временного накопления твердых коммунальных отходов, созданных на территории Новосибирской области</w:t>
            </w:r>
            <w:r w:rsidR="00EA200C" w:rsidRPr="00360105">
              <w:rPr>
                <w:sz w:val="20"/>
                <w:szCs w:val="20"/>
              </w:rPr>
              <w:t xml:space="preserve"> (штук)</w:t>
            </w:r>
          </w:p>
        </w:tc>
        <w:tc>
          <w:tcPr>
            <w:tcW w:w="1276" w:type="dxa"/>
            <w:shd w:val="clear" w:color="auto" w:fill="auto"/>
          </w:tcPr>
          <w:p w:rsidR="00F3668F" w:rsidRPr="00360105" w:rsidRDefault="00F3668F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квартальная </w:t>
            </w:r>
          </w:p>
        </w:tc>
        <w:tc>
          <w:tcPr>
            <w:tcW w:w="2126" w:type="dxa"/>
            <w:shd w:val="clear" w:color="auto" w:fill="auto"/>
          </w:tcPr>
          <w:p w:rsidR="00F3668F" w:rsidRPr="00360105" w:rsidRDefault="00F3668F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ежегодно</w:t>
            </w:r>
          </w:p>
        </w:tc>
        <w:tc>
          <w:tcPr>
            <w:tcW w:w="4536" w:type="dxa"/>
            <w:shd w:val="clear" w:color="auto" w:fill="auto"/>
          </w:tcPr>
          <w:p w:rsidR="00F3668F" w:rsidRPr="00360105" w:rsidRDefault="00D529AD" w:rsidP="00D529AD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1. </w:t>
            </w:r>
            <w:r w:rsidR="005E0C12" w:rsidRPr="00360105">
              <w:rPr>
                <w:sz w:val="20"/>
                <w:szCs w:val="20"/>
              </w:rPr>
              <w:t>Плановое значение</w:t>
            </w:r>
            <w:r w:rsidR="00CF004F" w:rsidRPr="00360105">
              <w:rPr>
                <w:sz w:val="20"/>
                <w:szCs w:val="20"/>
              </w:rPr>
              <w:t xml:space="preserve"> принято</w:t>
            </w:r>
            <w:r w:rsidR="005E0C12" w:rsidRPr="00360105">
              <w:rPr>
                <w:sz w:val="20"/>
                <w:szCs w:val="20"/>
              </w:rPr>
              <w:t xml:space="preserve"> в соответствии с территориальной схемой обращения с отходами, в том числе с ТКО, Новосибирской области, утвержденной постановлением Правител</w:t>
            </w:r>
            <w:r w:rsidR="00CF004F" w:rsidRPr="00360105">
              <w:rPr>
                <w:sz w:val="20"/>
                <w:szCs w:val="20"/>
              </w:rPr>
              <w:t>ьства НСО от 26.09.2016 № 292-п</w:t>
            </w:r>
            <w:r w:rsidR="00CF004F" w:rsidRPr="00360105">
              <w:t xml:space="preserve"> </w:t>
            </w:r>
            <w:r w:rsidR="00CF004F" w:rsidRPr="00360105">
              <w:rPr>
                <w:sz w:val="20"/>
                <w:szCs w:val="20"/>
              </w:rPr>
              <w:t>и возможностей бюджета Новосибирской области.</w:t>
            </w:r>
          </w:p>
          <w:p w:rsidR="00555AD1" w:rsidRPr="00360105" w:rsidRDefault="00555AD1" w:rsidP="00D529AD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  <w:p w:rsidR="003417CD" w:rsidRPr="00360105" w:rsidRDefault="00D529AD" w:rsidP="00D529AD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2. </w:t>
            </w:r>
            <w:r w:rsidR="00554E19" w:rsidRPr="00360105">
              <w:rPr>
                <w:sz w:val="20"/>
                <w:szCs w:val="20"/>
              </w:rPr>
              <w:t>Фактическое значение определяется прямым счетом на конец отчетного периода.</w:t>
            </w:r>
          </w:p>
          <w:p w:rsidR="003417CD" w:rsidRPr="00360105" w:rsidRDefault="003417CD" w:rsidP="00D529AD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Расчет производится в рамках мероприятия 3.2</w:t>
            </w:r>
          </w:p>
        </w:tc>
        <w:tc>
          <w:tcPr>
            <w:tcW w:w="4819" w:type="dxa"/>
            <w:shd w:val="clear" w:color="auto" w:fill="auto"/>
          </w:tcPr>
          <w:p w:rsidR="00F3668F" w:rsidRPr="00360105" w:rsidRDefault="00986558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На основании </w:t>
            </w:r>
            <w:r w:rsidR="001570B6" w:rsidRPr="00360105">
              <w:rPr>
                <w:sz w:val="20"/>
                <w:szCs w:val="20"/>
              </w:rPr>
              <w:t>акта о завершении строительства объекта</w:t>
            </w:r>
          </w:p>
          <w:p w:rsidR="00423398" w:rsidRPr="00360105" w:rsidRDefault="00423398" w:rsidP="00423398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</w:tr>
      <w:tr w:rsidR="00893323" w:rsidRPr="00360105" w:rsidTr="001D3886">
        <w:trPr>
          <w:trHeight w:val="333"/>
        </w:trPr>
        <w:tc>
          <w:tcPr>
            <w:tcW w:w="3227" w:type="dxa"/>
            <w:shd w:val="clear" w:color="auto" w:fill="auto"/>
          </w:tcPr>
          <w:p w:rsidR="00893323" w:rsidRPr="00360105" w:rsidRDefault="007903C9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11</w:t>
            </w:r>
            <w:r w:rsidR="00893323" w:rsidRPr="00360105">
              <w:rPr>
                <w:sz w:val="20"/>
                <w:szCs w:val="20"/>
              </w:rPr>
              <w:t>.</w:t>
            </w:r>
            <w:r w:rsidR="00893323" w:rsidRPr="00360105">
              <w:rPr>
                <w:szCs w:val="20"/>
              </w:rPr>
              <w:t> </w:t>
            </w:r>
            <w:r w:rsidR="00893323" w:rsidRPr="00360105">
              <w:rPr>
                <w:sz w:val="20"/>
                <w:szCs w:val="20"/>
              </w:rPr>
              <w:t>Количество районов города Новосибирска, обеспеченных пунктами по раздельному сбору отходов (ед.)</w:t>
            </w:r>
          </w:p>
        </w:tc>
        <w:tc>
          <w:tcPr>
            <w:tcW w:w="1276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квартальная</w:t>
            </w:r>
          </w:p>
        </w:tc>
        <w:tc>
          <w:tcPr>
            <w:tcW w:w="2126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нарастающим итогом </w:t>
            </w:r>
          </w:p>
        </w:tc>
        <w:tc>
          <w:tcPr>
            <w:tcW w:w="4536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1. Плановое значение принято исходя из возможностей бюджета Новосибирской области и потребности муниципальных образований.</w:t>
            </w:r>
          </w:p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2. Фактическое значение определяется прямым счетом на конец отчетного периода.</w:t>
            </w:r>
          </w:p>
          <w:p w:rsidR="002259CE" w:rsidRPr="00360105" w:rsidRDefault="002259CE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Расчет производится в рамках мероприятия 4.1</w:t>
            </w:r>
          </w:p>
        </w:tc>
        <w:tc>
          <w:tcPr>
            <w:tcW w:w="4819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Отчетность мэрии города Новосибирска</w:t>
            </w:r>
          </w:p>
        </w:tc>
      </w:tr>
      <w:tr w:rsidR="00893323" w:rsidRPr="00360105" w:rsidTr="001D3886">
        <w:trPr>
          <w:trHeight w:val="333"/>
        </w:trPr>
        <w:tc>
          <w:tcPr>
            <w:tcW w:w="3227" w:type="dxa"/>
            <w:shd w:val="clear" w:color="auto" w:fill="auto"/>
          </w:tcPr>
          <w:p w:rsidR="00893323" w:rsidRPr="00360105" w:rsidRDefault="007903C9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13</w:t>
            </w:r>
            <w:r w:rsidR="00893323" w:rsidRPr="00360105">
              <w:rPr>
                <w:sz w:val="20"/>
                <w:szCs w:val="20"/>
              </w:rPr>
              <w:t>.</w:t>
            </w:r>
            <w:r w:rsidR="00893323" w:rsidRPr="00360105">
              <w:rPr>
                <w:szCs w:val="20"/>
              </w:rPr>
              <w:t> </w:t>
            </w:r>
            <w:r w:rsidR="00893323" w:rsidRPr="00360105">
              <w:rPr>
                <w:sz w:val="20"/>
                <w:szCs w:val="20"/>
              </w:rPr>
              <w:t xml:space="preserve">Количество колесной техники </w:t>
            </w:r>
            <w:r w:rsidR="00893323" w:rsidRPr="00360105">
              <w:rPr>
                <w:sz w:val="20"/>
                <w:szCs w:val="20"/>
              </w:rPr>
              <w:lastRenderedPageBreak/>
              <w:t>специального назначения, (приобретенной или переоборудованной), использующей компримированный природный газ в качестве моторного топлива (ед.)</w:t>
            </w:r>
          </w:p>
        </w:tc>
        <w:tc>
          <w:tcPr>
            <w:tcW w:w="1276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lastRenderedPageBreak/>
              <w:t>квартальная</w:t>
            </w:r>
          </w:p>
        </w:tc>
        <w:tc>
          <w:tcPr>
            <w:tcW w:w="2126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нарастающим итогом</w:t>
            </w:r>
          </w:p>
        </w:tc>
        <w:tc>
          <w:tcPr>
            <w:tcW w:w="4536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1. Плановое значение принято исходя из планируемых к приобретению единиц техники, с </w:t>
            </w:r>
            <w:r w:rsidRPr="00360105">
              <w:rPr>
                <w:sz w:val="20"/>
                <w:szCs w:val="20"/>
              </w:rPr>
              <w:lastRenderedPageBreak/>
              <w:t>четом загрузки АГКНКС на территории Новосибирской области.</w:t>
            </w:r>
          </w:p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360105">
              <w:rPr>
                <w:color w:val="000000" w:themeColor="text1"/>
                <w:sz w:val="20"/>
                <w:szCs w:val="20"/>
              </w:rPr>
              <w:t>2. Фактическое значение определяется прямым счетом, по фактически приобретенной технике специального назначения, использующей компримированный природный га</w:t>
            </w:r>
            <w:r w:rsidR="00A944E0" w:rsidRPr="00360105">
              <w:rPr>
                <w:color w:val="000000" w:themeColor="text1"/>
                <w:sz w:val="20"/>
                <w:szCs w:val="20"/>
              </w:rPr>
              <w:t>з в качестве моторного топлива.</w:t>
            </w:r>
          </w:p>
          <w:p w:rsidR="00A944E0" w:rsidRPr="00360105" w:rsidRDefault="00A944E0" w:rsidP="001D3886">
            <w:pPr>
              <w:tabs>
                <w:tab w:val="left" w:pos="9923"/>
              </w:tabs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A944E0" w:rsidRPr="00360105" w:rsidRDefault="00A944E0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Расчет производится в рамках мероприятия 5.1</w:t>
            </w:r>
          </w:p>
        </w:tc>
        <w:tc>
          <w:tcPr>
            <w:tcW w:w="4819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lastRenderedPageBreak/>
              <w:t xml:space="preserve">На основании документов, подтверждающих приобретение техники (паспорт транспортного </w:t>
            </w:r>
            <w:r w:rsidRPr="00360105">
              <w:rPr>
                <w:sz w:val="20"/>
                <w:szCs w:val="20"/>
              </w:rPr>
              <w:lastRenderedPageBreak/>
              <w:t>средства, товарная накладная).</w:t>
            </w:r>
          </w:p>
          <w:p w:rsidR="00B23C98" w:rsidRPr="00360105" w:rsidRDefault="00B23C98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</w:tr>
      <w:tr w:rsidR="00893323" w:rsidRPr="00360105" w:rsidTr="001D3886">
        <w:trPr>
          <w:trHeight w:val="333"/>
        </w:trPr>
        <w:tc>
          <w:tcPr>
            <w:tcW w:w="3227" w:type="dxa"/>
            <w:shd w:val="clear" w:color="auto" w:fill="auto"/>
          </w:tcPr>
          <w:p w:rsidR="00893323" w:rsidRPr="00360105" w:rsidRDefault="007903C9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lastRenderedPageBreak/>
              <w:t>14</w:t>
            </w:r>
            <w:r w:rsidR="00893323" w:rsidRPr="00360105">
              <w:rPr>
                <w:sz w:val="20"/>
                <w:szCs w:val="20"/>
              </w:rPr>
              <w:t>. Доля возвращенных в хозяйственный оборот рекультивированных земель от потребности (%)</w:t>
            </w:r>
          </w:p>
        </w:tc>
        <w:tc>
          <w:tcPr>
            <w:tcW w:w="1276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квартальная</w:t>
            </w:r>
          </w:p>
        </w:tc>
        <w:tc>
          <w:tcPr>
            <w:tcW w:w="2126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нарастающим итогом</w:t>
            </w:r>
          </w:p>
        </w:tc>
        <w:tc>
          <w:tcPr>
            <w:tcW w:w="4536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1. Плановое</w:t>
            </w:r>
            <w:r w:rsidR="009F14F3" w:rsidRPr="00360105">
              <w:rPr>
                <w:sz w:val="20"/>
                <w:szCs w:val="20"/>
              </w:rPr>
              <w:t xml:space="preserve"> значение принято – реализация двух проектов</w:t>
            </w:r>
            <w:r w:rsidRPr="00360105">
              <w:rPr>
                <w:sz w:val="20"/>
                <w:szCs w:val="20"/>
              </w:rPr>
              <w:t xml:space="preserve"> ежегодно (значение определено из расчета возможности разработки ПСД и его реализации начиная с 2019 года с учетом возможностей бюджета Новосибирской области) из перечня который зафиксирован в территориальной схеме обращения с отходами, в том числе с ТКО, Новосибирской области, утвержденной постановлением Правительства НСО от 26.09.2016 № 292-п. </w:t>
            </w:r>
          </w:p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2. Фактическое значение определяется как отношение площади рекультивированных земель за отчетный период (нарастающим итогом с начала реализации мероприятия) к площади земель, имеющих потребность в рекультивации. </w:t>
            </w:r>
          </w:p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Расчет производится по формуле:</w:t>
            </w:r>
          </w:p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С=</w:t>
            </w:r>
            <w:r w:rsidRPr="00360105">
              <w:rPr>
                <w:sz w:val="20"/>
                <w:szCs w:val="20"/>
                <w:lang w:val="en-US"/>
              </w:rPr>
              <w:t>Sr</w:t>
            </w:r>
            <w:r w:rsidRPr="00360105">
              <w:rPr>
                <w:sz w:val="20"/>
                <w:szCs w:val="20"/>
              </w:rPr>
              <w:t>/</w:t>
            </w:r>
            <w:r w:rsidRPr="00360105">
              <w:rPr>
                <w:sz w:val="20"/>
                <w:szCs w:val="20"/>
                <w:lang w:val="en-US"/>
              </w:rPr>
              <w:t>Sp</w:t>
            </w:r>
            <w:r w:rsidRPr="00360105">
              <w:rPr>
                <w:sz w:val="20"/>
                <w:szCs w:val="20"/>
              </w:rPr>
              <w:t>х100%, где</w:t>
            </w:r>
          </w:p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  <w:lang w:val="en-US"/>
              </w:rPr>
              <w:t>C</w:t>
            </w:r>
            <w:r w:rsidRPr="00360105">
              <w:rPr>
                <w:sz w:val="20"/>
                <w:szCs w:val="20"/>
              </w:rPr>
              <w:t xml:space="preserve"> –доля возвращенных в хозяйственный оборот рекультивированных земель, %;</w:t>
            </w:r>
          </w:p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  <w:lang w:val="en-US"/>
              </w:rPr>
              <w:t>Sr</w:t>
            </w:r>
            <w:r w:rsidRPr="00360105">
              <w:rPr>
                <w:sz w:val="20"/>
                <w:szCs w:val="20"/>
              </w:rPr>
              <w:t xml:space="preserve"> – площадь рекультивированных земель за отчетный период (нарастающим итогом), га;</w:t>
            </w:r>
          </w:p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  <w:lang w:val="en-US"/>
              </w:rPr>
              <w:t>Sp</w:t>
            </w:r>
            <w:r w:rsidRPr="00360105">
              <w:rPr>
                <w:sz w:val="20"/>
                <w:szCs w:val="20"/>
              </w:rPr>
              <w:t xml:space="preserve"> – площадь земель, имеющих потребность в рекультивации от потребности, га.</w:t>
            </w:r>
          </w:p>
          <w:p w:rsidR="00893323" w:rsidRPr="00360105" w:rsidRDefault="00A944E0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Расчет производится в рамках мероприятия 6.1</w:t>
            </w:r>
          </w:p>
        </w:tc>
        <w:tc>
          <w:tcPr>
            <w:tcW w:w="4819" w:type="dxa"/>
            <w:shd w:val="clear" w:color="auto" w:fill="auto"/>
          </w:tcPr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Проектная документация, акт выполненных работ.</w:t>
            </w:r>
          </w:p>
          <w:p w:rsidR="00893323" w:rsidRPr="00360105" w:rsidRDefault="00893323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Территориальная схема обращения с отходами, в том числе с ТКО, Новосибирской области, утвержденной постановлением Правительства НСО от 26.09.2016 № 292-п</w:t>
            </w:r>
          </w:p>
          <w:p w:rsidR="00B23C98" w:rsidRPr="00360105" w:rsidRDefault="00B23C98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  <w:p w:rsidR="00B23C98" w:rsidRPr="00360105" w:rsidRDefault="00B23C98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  <w:p w:rsidR="00B23C98" w:rsidRPr="00360105" w:rsidRDefault="00B23C98" w:rsidP="001D3886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</w:tr>
      <w:tr w:rsidR="00CA71E2" w:rsidRPr="00360105" w:rsidTr="001D3886">
        <w:trPr>
          <w:trHeight w:val="333"/>
        </w:trPr>
        <w:tc>
          <w:tcPr>
            <w:tcW w:w="3227" w:type="dxa"/>
            <w:shd w:val="clear" w:color="auto" w:fill="auto"/>
          </w:tcPr>
          <w:p w:rsidR="00CA71E2" w:rsidRPr="00360105" w:rsidRDefault="00CA71E2" w:rsidP="00CA71E2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15. Ликвидированы выявленные на 1 января 2018 года несанкционированные свалки твердых коммунальных отходов, расположенные в границах городов, городских округов Новосибирской области, </w:t>
            </w:r>
          </w:p>
        </w:tc>
        <w:tc>
          <w:tcPr>
            <w:tcW w:w="1276" w:type="dxa"/>
            <w:shd w:val="clear" w:color="auto" w:fill="auto"/>
          </w:tcPr>
          <w:p w:rsidR="00CA71E2" w:rsidRPr="00360105" w:rsidRDefault="00CA71E2" w:rsidP="00CA71E2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годовая </w:t>
            </w:r>
          </w:p>
        </w:tc>
        <w:tc>
          <w:tcPr>
            <w:tcW w:w="2126" w:type="dxa"/>
            <w:shd w:val="clear" w:color="auto" w:fill="auto"/>
          </w:tcPr>
          <w:p w:rsidR="00CA71E2" w:rsidRPr="00360105" w:rsidRDefault="00CA71E2" w:rsidP="00CA71E2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нарастающим итогом</w:t>
            </w:r>
          </w:p>
        </w:tc>
        <w:tc>
          <w:tcPr>
            <w:tcW w:w="4536" w:type="dxa"/>
            <w:shd w:val="clear" w:color="auto" w:fill="auto"/>
          </w:tcPr>
          <w:p w:rsidR="00CA71E2" w:rsidRPr="00360105" w:rsidRDefault="00CA71E2" w:rsidP="00CA71E2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1. Плановое значение принято, исходя из количества планируемых к ликвидации несанкционированных свалок твердых коммунальных отходов, расположенных в границах городов, городских округов Новосибирской области. </w:t>
            </w:r>
          </w:p>
          <w:p w:rsidR="00CA71E2" w:rsidRPr="00360105" w:rsidRDefault="00CA71E2" w:rsidP="00CA71E2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color w:val="000000" w:themeColor="text1"/>
                <w:sz w:val="20"/>
                <w:szCs w:val="20"/>
              </w:rPr>
              <w:t xml:space="preserve">2. Фактическое значение определяется прямым </w:t>
            </w:r>
            <w:r w:rsidRPr="00360105">
              <w:rPr>
                <w:color w:val="000000" w:themeColor="text1"/>
                <w:sz w:val="20"/>
                <w:szCs w:val="20"/>
              </w:rPr>
              <w:lastRenderedPageBreak/>
              <w:t xml:space="preserve">счетом, по фактически </w:t>
            </w:r>
            <w:r w:rsidRPr="00360105">
              <w:rPr>
                <w:sz w:val="20"/>
                <w:szCs w:val="20"/>
              </w:rPr>
              <w:t>ликвидированным несанкционированным свалкам твердых коммунальных отходов, расположенных в границах городов, городских округов Новосибирской области.</w:t>
            </w:r>
          </w:p>
        </w:tc>
        <w:tc>
          <w:tcPr>
            <w:tcW w:w="4819" w:type="dxa"/>
            <w:shd w:val="clear" w:color="auto" w:fill="auto"/>
          </w:tcPr>
          <w:p w:rsidR="00CA71E2" w:rsidRPr="00360105" w:rsidRDefault="00CA71E2" w:rsidP="00CA71E2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</w:tr>
      <w:tr w:rsidR="00CA71E2" w:rsidRPr="00360105" w:rsidTr="001D3886">
        <w:trPr>
          <w:trHeight w:val="333"/>
        </w:trPr>
        <w:tc>
          <w:tcPr>
            <w:tcW w:w="3227" w:type="dxa"/>
            <w:shd w:val="clear" w:color="auto" w:fill="auto"/>
          </w:tcPr>
          <w:p w:rsidR="00CA71E2" w:rsidRPr="00360105" w:rsidRDefault="00CA71E2" w:rsidP="00CA71E2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16. Численность населения, качество жизни которого улучшиться в связи с ликвидацией несанкционированных свалок твердых коммунальных отходов в границах городов, городских округов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CA71E2" w:rsidRPr="00360105" w:rsidRDefault="00CA71E2" w:rsidP="00CA71E2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годовая</w:t>
            </w:r>
          </w:p>
        </w:tc>
        <w:tc>
          <w:tcPr>
            <w:tcW w:w="2126" w:type="dxa"/>
            <w:shd w:val="clear" w:color="auto" w:fill="auto"/>
          </w:tcPr>
          <w:p w:rsidR="00CA71E2" w:rsidRPr="00360105" w:rsidRDefault="00CA71E2" w:rsidP="00CA71E2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нарастающим итогом</w:t>
            </w:r>
          </w:p>
        </w:tc>
        <w:tc>
          <w:tcPr>
            <w:tcW w:w="4536" w:type="dxa"/>
            <w:shd w:val="clear" w:color="auto" w:fill="auto"/>
          </w:tcPr>
          <w:p w:rsidR="00CA71E2" w:rsidRPr="00360105" w:rsidRDefault="00CA71E2" w:rsidP="00CA71E2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1. Плановое значение принято, исходя из численности населения, проживающего в населенных пунктах, на территории которых планируется ликвидация несанкционированных свалок твердых коммунальных отходов, согласно  статистическому сборнику «Населенные пункты Новосибирской области» (номер по каталогу 2.52).</w:t>
            </w:r>
          </w:p>
          <w:p w:rsidR="00CA71E2" w:rsidRPr="00360105" w:rsidRDefault="00CA71E2" w:rsidP="00CA71E2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2. Фактическое значение определяется исходя из численности населения, проживающего в населенных пунктах, на территории которых ликвидированы несанкционированные свалки твердых коммунальных отходов, согласно  статистическому сборнику «Населенные пункты Новосибирской области» (номер по каталогу 2.52).</w:t>
            </w:r>
          </w:p>
        </w:tc>
        <w:tc>
          <w:tcPr>
            <w:tcW w:w="4819" w:type="dxa"/>
            <w:shd w:val="clear" w:color="auto" w:fill="auto"/>
          </w:tcPr>
          <w:p w:rsidR="00CA71E2" w:rsidRPr="00360105" w:rsidRDefault="00CA71E2" w:rsidP="00CA71E2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</w:tr>
      <w:tr w:rsidR="00CA71E2" w:rsidRPr="00360105" w:rsidTr="001D3886">
        <w:trPr>
          <w:trHeight w:val="333"/>
        </w:trPr>
        <w:tc>
          <w:tcPr>
            <w:tcW w:w="3227" w:type="dxa"/>
            <w:shd w:val="clear" w:color="auto" w:fill="auto"/>
          </w:tcPr>
          <w:p w:rsidR="00CA71E2" w:rsidRPr="00360105" w:rsidRDefault="00CA71E2" w:rsidP="00CA71E2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17. Общая площадь восстановленных, в том числе рекультивированных территорий, занятых несанкционированными свалками твердых коммунальных отходов в границах городов, городских округов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CA71E2" w:rsidRPr="00360105" w:rsidRDefault="00CA71E2" w:rsidP="00CA71E2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годовая</w:t>
            </w:r>
          </w:p>
        </w:tc>
        <w:tc>
          <w:tcPr>
            <w:tcW w:w="2126" w:type="dxa"/>
            <w:shd w:val="clear" w:color="auto" w:fill="auto"/>
          </w:tcPr>
          <w:p w:rsidR="00CA71E2" w:rsidRPr="00360105" w:rsidRDefault="00CA71E2" w:rsidP="00CA71E2">
            <w:pPr>
              <w:tabs>
                <w:tab w:val="left" w:pos="9923"/>
              </w:tabs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нарастающим итогом</w:t>
            </w:r>
          </w:p>
        </w:tc>
        <w:tc>
          <w:tcPr>
            <w:tcW w:w="4536" w:type="dxa"/>
            <w:shd w:val="clear" w:color="auto" w:fill="auto"/>
          </w:tcPr>
          <w:p w:rsidR="00CA71E2" w:rsidRPr="00360105" w:rsidRDefault="00CA71E2" w:rsidP="00CA71E2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1. Плановое значение принято, исходя из площади планируемых к ликвидации несанкционированных свалок твердых коммунальных отходов в границах городов, городских округов Новосибирской области. </w:t>
            </w:r>
          </w:p>
          <w:p w:rsidR="00CA71E2" w:rsidRPr="00360105" w:rsidRDefault="00CA71E2" w:rsidP="00CA71E2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2. Фактическое значение </w:t>
            </w:r>
            <w:r w:rsidRPr="00360105">
              <w:rPr>
                <w:color w:val="000000" w:themeColor="text1"/>
                <w:sz w:val="20"/>
                <w:szCs w:val="20"/>
              </w:rPr>
              <w:t xml:space="preserve">определяется прямым счетом, по площади фактически </w:t>
            </w:r>
            <w:r w:rsidRPr="00360105">
              <w:rPr>
                <w:sz w:val="20"/>
                <w:szCs w:val="20"/>
              </w:rPr>
              <w:t xml:space="preserve">восстановленных, в том числе рекультивированных территорий, занятых несанкционированными свалками твердых коммунальных отходов в границах городов, городских округов Новосибирской области. </w:t>
            </w:r>
          </w:p>
        </w:tc>
        <w:tc>
          <w:tcPr>
            <w:tcW w:w="4819" w:type="dxa"/>
            <w:shd w:val="clear" w:color="auto" w:fill="auto"/>
          </w:tcPr>
          <w:p w:rsidR="00CA71E2" w:rsidRPr="00360105" w:rsidRDefault="00CA71E2" w:rsidP="00CA71E2">
            <w:pPr>
              <w:tabs>
                <w:tab w:val="left" w:pos="9923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1116D9" w:rsidRPr="00360105" w:rsidRDefault="001116D9" w:rsidP="006E49AA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6E49AA" w:rsidRPr="00360105" w:rsidRDefault="004C37D2" w:rsidP="00856651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Примечание: нумерация целевых индикаторов дана в соответствии с приложением 1 «Цели, задачи и целевые индикаторы государственной программы Новосибирской области «Жилищно-коммунальное хозяйство Новосибирской о</w:t>
      </w:r>
      <w:r w:rsidR="00AE39CE" w:rsidRPr="00360105">
        <w:rPr>
          <w:rFonts w:ascii="Times New Roman" w:hAnsi="Times New Roman" w:cs="Times New Roman"/>
          <w:sz w:val="28"/>
          <w:szCs w:val="28"/>
        </w:rPr>
        <w:t>бласти</w:t>
      </w:r>
      <w:r w:rsidRPr="00360105">
        <w:rPr>
          <w:rFonts w:ascii="Times New Roman" w:hAnsi="Times New Roman" w:cs="Times New Roman"/>
          <w:sz w:val="28"/>
          <w:szCs w:val="28"/>
        </w:rPr>
        <w:t>».</w:t>
      </w:r>
    </w:p>
    <w:p w:rsidR="006E49AA" w:rsidRPr="00360105" w:rsidRDefault="006E49AA" w:rsidP="006E49AA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6E49AA" w:rsidRPr="00360105" w:rsidRDefault="006E49AA" w:rsidP="006E49AA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ГРОРО – государственный реестр объектов размещения отходов;</w:t>
      </w:r>
    </w:p>
    <w:p w:rsidR="006E49AA" w:rsidRPr="00360105" w:rsidRDefault="006E49AA" w:rsidP="006E49AA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lastRenderedPageBreak/>
        <w:t>ТКО – твердые коммунальные отходы;</w:t>
      </w:r>
    </w:p>
    <w:p w:rsidR="006E49AA" w:rsidRPr="00360105" w:rsidRDefault="006E49AA" w:rsidP="006E49AA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ПСД – проектно-сметная документация;</w:t>
      </w:r>
    </w:p>
    <w:p w:rsidR="006E49AA" w:rsidRPr="00360105" w:rsidRDefault="006E49AA" w:rsidP="006E49AA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АГКНКС - автомобильные газонаполнительные компрессорные станции</w:t>
      </w:r>
    </w:p>
    <w:p w:rsidR="006E49AA" w:rsidRPr="00360105" w:rsidRDefault="006E49AA" w:rsidP="006E49AA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МЖКХиЭ НСО – министерство жилищно-коммунального хозяйства и энергетики Новосибирской области;</w:t>
      </w:r>
    </w:p>
    <w:p w:rsidR="006E49AA" w:rsidRPr="00360105" w:rsidRDefault="006E49AA" w:rsidP="00C6182B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МО НСО – муниципальные образования Новосибирской области.</w:t>
      </w:r>
    </w:p>
    <w:p w:rsidR="00EA34E6" w:rsidRPr="00360105" w:rsidRDefault="00EA34E6" w:rsidP="00C6182B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EA34E6" w:rsidRPr="00360105" w:rsidRDefault="00EA34E6" w:rsidP="006735BE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:rsidR="006735BE" w:rsidRPr="00360105" w:rsidRDefault="006735BE" w:rsidP="006735BE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___________</w:t>
      </w:r>
    </w:p>
    <w:p w:rsidR="0070246D" w:rsidRPr="00360105" w:rsidRDefault="0070246D" w:rsidP="00C6182B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0127A" w:rsidRPr="00360105" w:rsidRDefault="0070127A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Таблица № 3</w:t>
      </w:r>
    </w:p>
    <w:p w:rsidR="00171779" w:rsidRPr="00360105" w:rsidRDefault="00171779" w:rsidP="0070127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E5530" w:rsidRPr="00360105" w:rsidRDefault="005E5530" w:rsidP="005E5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Подробный перечень планируемых к реализации мероприятий</w:t>
      </w:r>
    </w:p>
    <w:p w:rsidR="005E5530" w:rsidRPr="00360105" w:rsidRDefault="005E5530" w:rsidP="005E55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 «Развитие системы обращения с отходами производства и потребления в Новосибир</w:t>
      </w:r>
      <w:r w:rsidR="00AE39CE" w:rsidRPr="00360105">
        <w:rPr>
          <w:rFonts w:ascii="Times New Roman" w:hAnsi="Times New Roman" w:cs="Times New Roman"/>
          <w:sz w:val="28"/>
          <w:szCs w:val="28"/>
        </w:rPr>
        <w:t>ской области</w:t>
      </w:r>
      <w:r w:rsidRPr="00360105">
        <w:rPr>
          <w:rFonts w:ascii="Times New Roman" w:hAnsi="Times New Roman" w:cs="Times New Roman"/>
          <w:sz w:val="28"/>
          <w:szCs w:val="28"/>
        </w:rPr>
        <w:t>»</w:t>
      </w:r>
    </w:p>
    <w:p w:rsidR="005E5530" w:rsidRPr="00360105" w:rsidRDefault="00AE39CE" w:rsidP="005E553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на очередной 2019 год и плановый период 2020 и 2021</w:t>
      </w:r>
      <w:r w:rsidR="005E5530" w:rsidRPr="00360105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5E5530" w:rsidRPr="00360105" w:rsidRDefault="005E5530" w:rsidP="005E5530">
      <w:pPr>
        <w:pStyle w:val="ConsPlusNormal"/>
        <w:ind w:firstLine="540"/>
        <w:jc w:val="center"/>
      </w:pPr>
    </w:p>
    <w:tbl>
      <w:tblPr>
        <w:tblW w:w="1603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91"/>
        <w:gridCol w:w="1776"/>
        <w:gridCol w:w="628"/>
        <w:gridCol w:w="567"/>
        <w:gridCol w:w="583"/>
        <w:gridCol w:w="1134"/>
        <w:gridCol w:w="992"/>
        <w:gridCol w:w="1136"/>
        <w:gridCol w:w="835"/>
        <w:gridCol w:w="744"/>
        <w:gridCol w:w="708"/>
        <w:gridCol w:w="825"/>
        <w:gridCol w:w="15"/>
        <w:gridCol w:w="841"/>
        <w:gridCol w:w="135"/>
        <w:gridCol w:w="9"/>
        <w:gridCol w:w="706"/>
        <w:gridCol w:w="1134"/>
        <w:gridCol w:w="1575"/>
      </w:tblGrid>
      <w:tr w:rsidR="00157603" w:rsidRPr="00360105" w:rsidTr="00220D3D">
        <w:trPr>
          <w:trHeight w:val="720"/>
          <w:tblCellSpacing w:w="5" w:type="nil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03" w:rsidRPr="00360105" w:rsidRDefault="00157603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03" w:rsidRPr="00360105" w:rsidRDefault="00157603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03" w:rsidRPr="00360105" w:rsidRDefault="00157603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Код бюджетной </w:t>
            </w:r>
          </w:p>
          <w:p w:rsidR="00157603" w:rsidRPr="00360105" w:rsidRDefault="00157603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03" w:rsidRPr="00360105" w:rsidRDefault="00AE39CE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Значение показателя на 2019</w:t>
            </w:r>
            <w:r w:rsidR="00157603" w:rsidRPr="0036010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3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03" w:rsidRPr="00360105" w:rsidRDefault="00157603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Значение показат</w:t>
            </w:r>
            <w:r w:rsidR="00AE39CE" w:rsidRPr="00360105">
              <w:rPr>
                <w:rFonts w:ascii="Times New Roman" w:hAnsi="Times New Roman" w:cs="Times New Roman"/>
              </w:rPr>
              <w:t>еля на очередной финансовый 2019</w:t>
            </w:r>
            <w:r w:rsidRPr="00360105">
              <w:rPr>
                <w:rFonts w:ascii="Times New Roman" w:hAnsi="Times New Roman" w:cs="Times New Roman"/>
              </w:rPr>
              <w:t xml:space="preserve"> год (поквартально)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603" w:rsidRPr="00360105" w:rsidRDefault="00AE39CE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Значение показателя на 2020</w:t>
            </w:r>
            <w:r w:rsidR="00157603" w:rsidRPr="0036010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603" w:rsidRPr="00360105" w:rsidRDefault="00AE39CE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Значение показателя на 2021</w:t>
            </w:r>
            <w:r w:rsidR="00157603" w:rsidRPr="0036010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603" w:rsidRPr="00360105" w:rsidRDefault="00157603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603" w:rsidRPr="00360105" w:rsidRDefault="00157603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Ожидаемый результат (краткое описание)</w:t>
            </w:r>
          </w:p>
        </w:tc>
      </w:tr>
      <w:tr w:rsidR="00DD131F" w:rsidRPr="00360105" w:rsidTr="00220D3D">
        <w:trPr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1F" w:rsidRPr="00360105" w:rsidRDefault="00DD131F" w:rsidP="00C86A0D">
            <w:pPr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1F" w:rsidRPr="00360105" w:rsidRDefault="00157603" w:rsidP="00C86A0D">
            <w:pPr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РЗ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54" w:rsidRPr="00360105" w:rsidRDefault="00AA4654" w:rsidP="00C86A0D">
            <w:pPr>
              <w:jc w:val="center"/>
              <w:rPr>
                <w:sz w:val="20"/>
                <w:szCs w:val="20"/>
              </w:rPr>
            </w:pPr>
          </w:p>
          <w:p w:rsidR="00DD131F" w:rsidRPr="00360105" w:rsidRDefault="00157603" w:rsidP="00C86A0D">
            <w:pPr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ПР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1F" w:rsidRPr="00360105" w:rsidRDefault="00DD131F" w:rsidP="00C86A0D">
            <w:pPr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ЦСР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1F" w:rsidRPr="00360105" w:rsidRDefault="00DD131F" w:rsidP="00C86A0D">
            <w:pPr>
              <w:jc w:val="center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ВР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 кв.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2 кв.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3 кв.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4 кв.</w:t>
            </w: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D131F" w:rsidRPr="00360105" w:rsidTr="00220D3D">
        <w:trPr>
          <w:tblCellSpacing w:w="5" w:type="nil"/>
        </w:trPr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BA2782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BA2782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BA2782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BA2782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BA2782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BA2782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BA2782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BA2782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BA2782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BA2782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BA2782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BA2782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16</w:t>
            </w:r>
          </w:p>
        </w:tc>
      </w:tr>
      <w:tr w:rsidR="00AF25AD" w:rsidRPr="00360105" w:rsidTr="00220D3D">
        <w:trPr>
          <w:tblCellSpacing w:w="5" w:type="nil"/>
        </w:trPr>
        <w:tc>
          <w:tcPr>
            <w:tcW w:w="16034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AD" w:rsidRPr="00360105" w:rsidRDefault="00AF25AD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Цель: совершенствование системы обращения с отходами производства и потребления в городских округах и муниципальных районах Новосибирской области, направленное на снижение негативного воздействия отходов производства и потребления на окружающую среду</w:t>
            </w:r>
          </w:p>
          <w:p w:rsidR="00AF25AD" w:rsidRPr="00360105" w:rsidRDefault="00AF25AD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F25AD" w:rsidRPr="00360105" w:rsidTr="00220D3D">
        <w:trPr>
          <w:tblCellSpacing w:w="5" w:type="nil"/>
        </w:trPr>
        <w:tc>
          <w:tcPr>
            <w:tcW w:w="16034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AD" w:rsidRPr="00360105" w:rsidRDefault="00AF25AD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1. Задача 1. Цели </w:t>
            </w:r>
          </w:p>
          <w:p w:rsidR="00AF25AD" w:rsidRPr="00360105" w:rsidRDefault="00AF25AD" w:rsidP="00C86A0D">
            <w:pPr>
              <w:ind w:firstLine="34"/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Внедрение глубокой обработки твердых коммунальных отходов, образующихся в городе Новосибирске и Новосибирской агломерации Новосибирской области</w:t>
            </w:r>
          </w:p>
          <w:p w:rsidR="00AF25AD" w:rsidRPr="00360105" w:rsidRDefault="00AF25AD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D131F" w:rsidRPr="00360105" w:rsidTr="00220D3D">
        <w:trPr>
          <w:trHeight w:val="720"/>
          <w:tblCellSpacing w:w="5" w:type="nil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1.1. Строительство комплексов по глубокой обработке </w:t>
            </w:r>
            <w:r w:rsidR="00E14778" w:rsidRPr="00360105">
              <w:rPr>
                <w:rFonts w:ascii="Times New Roman" w:hAnsi="Times New Roman" w:cs="Times New Roman"/>
              </w:rPr>
              <w:t>ТКО</w:t>
            </w:r>
            <w:r w:rsidR="006835B6" w:rsidRPr="00360105">
              <w:rPr>
                <w:rFonts w:ascii="Times New Roman" w:hAnsi="Times New Roman" w:cs="Times New Roman"/>
              </w:rPr>
              <w:t xml:space="preserve"> для города </w:t>
            </w:r>
            <w:r w:rsidRPr="00360105">
              <w:rPr>
                <w:rFonts w:ascii="Times New Roman" w:hAnsi="Times New Roman" w:cs="Times New Roman"/>
              </w:rPr>
              <w:lastRenderedPageBreak/>
              <w:t>Новосибирска и Новосибирской агломерации Новосибирской области</w:t>
            </w:r>
            <w:r w:rsidR="00387539" w:rsidRPr="00360105">
              <w:rPr>
                <w:rFonts w:ascii="Times New Roman" w:hAnsi="Times New Roman" w:cs="Times New Roman"/>
              </w:rPr>
              <w:t xml:space="preserve"> (пилотный проект)</w:t>
            </w:r>
          </w:p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lastRenderedPageBreak/>
              <w:t>Количество строящихся объектов (ед.)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МЖКХ и Э НСО</w:t>
            </w:r>
          </w:p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мэрия г. Новосибирска, </w:t>
            </w:r>
            <w:r w:rsidRPr="00360105">
              <w:rPr>
                <w:rFonts w:ascii="Times New Roman" w:hAnsi="Times New Roman" w:cs="Times New Roman"/>
              </w:rPr>
              <w:lastRenderedPageBreak/>
              <w:t>инвестиционная компания</w:t>
            </w:r>
          </w:p>
        </w:tc>
        <w:tc>
          <w:tcPr>
            <w:tcW w:w="15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05757F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lastRenderedPageBreak/>
              <w:t xml:space="preserve">Уменьшение доли отходов, образующихся в городе Новосибирске и </w:t>
            </w:r>
            <w:r w:rsidRPr="00360105">
              <w:rPr>
                <w:rFonts w:ascii="Times New Roman" w:hAnsi="Times New Roman" w:cs="Times New Roman"/>
              </w:rPr>
              <w:lastRenderedPageBreak/>
              <w:t>Новосибирской агломерации Новосибирской области, подлежащих</w:t>
            </w:r>
            <w:r w:rsidR="002E4BDF" w:rsidRPr="00360105">
              <w:rPr>
                <w:rFonts w:ascii="Times New Roman" w:hAnsi="Times New Roman" w:cs="Times New Roman"/>
              </w:rPr>
              <w:t xml:space="preserve"> размещению (захоронению), </w:t>
            </w:r>
            <w:r w:rsidR="00AF0B73" w:rsidRPr="00360105">
              <w:rPr>
                <w:rFonts w:ascii="Times New Roman" w:hAnsi="Times New Roman" w:cs="Times New Roman"/>
              </w:rPr>
              <w:t>до 35</w:t>
            </w:r>
            <w:r w:rsidRPr="00360105">
              <w:rPr>
                <w:rFonts w:ascii="Times New Roman" w:hAnsi="Times New Roman" w:cs="Times New Roman"/>
              </w:rPr>
              <w:t>%</w:t>
            </w:r>
          </w:p>
        </w:tc>
      </w:tr>
      <w:tr w:rsidR="00DD131F" w:rsidRPr="00360105" w:rsidTr="00220D3D">
        <w:trPr>
          <w:trHeight w:val="376"/>
          <w:tblCellSpacing w:w="5" w:type="nil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Стоимость единицы (тыс. </w:t>
            </w:r>
            <w:r w:rsidRPr="00360105">
              <w:rPr>
                <w:rFonts w:ascii="Times New Roman" w:hAnsi="Times New Roman" w:cs="Times New Roman"/>
              </w:rPr>
              <w:lastRenderedPageBreak/>
              <w:t>руб.)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8F0510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8F0510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8F0510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8F0510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D131F" w:rsidRPr="00360105" w:rsidTr="00220D3D">
        <w:trPr>
          <w:trHeight w:val="540"/>
          <w:tblCellSpacing w:w="5" w:type="nil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Сумма затрат (тыс. руб), </w:t>
            </w:r>
          </w:p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1 000 000,0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1 000 000,0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DD131F" w:rsidRPr="00360105">
              <w:rPr>
                <w:rFonts w:ascii="Times New Roman" w:hAnsi="Times New Roman" w:cs="Times New Roman"/>
                <w:sz w:val="14"/>
                <w:szCs w:val="14"/>
              </w:rPr>
              <w:t> 374 000,0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D131F" w:rsidRPr="00360105" w:rsidTr="00220D3D">
        <w:trPr>
          <w:trHeight w:val="265"/>
          <w:tblCellSpacing w:w="5" w:type="nil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D131F" w:rsidRPr="00360105" w:rsidTr="00220D3D">
        <w:trPr>
          <w:trHeight w:val="411"/>
          <w:tblCellSpacing w:w="5" w:type="nil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D131F" w:rsidRPr="00360105" w:rsidTr="00220D3D">
        <w:trPr>
          <w:trHeight w:val="291"/>
          <w:tblCellSpacing w:w="5" w:type="nil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D131F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1 000 000,0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1 000 000,0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DD131F" w:rsidRPr="00360105">
              <w:rPr>
                <w:rFonts w:ascii="Times New Roman" w:hAnsi="Times New Roman" w:cs="Times New Roman"/>
                <w:sz w:val="14"/>
                <w:szCs w:val="14"/>
              </w:rPr>
              <w:t> 374 000,0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1F" w:rsidRPr="00360105" w:rsidRDefault="00DD131F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073CA" w:rsidRPr="00360105" w:rsidTr="00D20FA1">
        <w:trPr>
          <w:trHeight w:val="360"/>
          <w:tblCellSpacing w:w="5" w:type="nil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Итого на решение задачи 1 цели 1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1 000 000,0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1 000 000,0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5 374 000,0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073CA" w:rsidRPr="00360105" w:rsidTr="00D20FA1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073CA" w:rsidRPr="00360105" w:rsidTr="00D20FA1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073CA" w:rsidRPr="00360105" w:rsidTr="00D20FA1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073CA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1 000 000,0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1 000 000,0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5 374 000,0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3CA" w:rsidRPr="00360105" w:rsidRDefault="00C073CA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AF25AD" w:rsidRPr="00360105" w:rsidTr="00220D3D">
        <w:trPr>
          <w:trHeight w:val="360"/>
          <w:tblCellSpacing w:w="5" w:type="nil"/>
        </w:trPr>
        <w:tc>
          <w:tcPr>
            <w:tcW w:w="16034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AD" w:rsidRPr="00360105" w:rsidRDefault="00AF25AD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2. Задача 2 Цели 1</w:t>
            </w:r>
          </w:p>
          <w:p w:rsidR="00AF25AD" w:rsidRPr="00360105" w:rsidRDefault="00AF25AD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Совершенствование системы управления в сфере обращения с отходами (сбор, накопление,  транспортирование, обработка, утилизация, обезвреживание и размещение), образующимися в Новосибирской области</w:t>
            </w:r>
          </w:p>
        </w:tc>
      </w:tr>
      <w:tr w:rsidR="00FD52C6" w:rsidRPr="00360105" w:rsidTr="00D97754">
        <w:trPr>
          <w:trHeight w:val="467"/>
          <w:tblCellSpacing w:w="5" w:type="nil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2.2. Возмещение убытков, возникающих в результате государственного регулирования тарифов на утилизацию ТКО для нужд населения и потребителей, приравненных к населению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6F6B11" w:rsidP="008A3FD1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Количество возмещений (ед</w:t>
            </w:r>
            <w:r w:rsidR="00FD52C6" w:rsidRPr="00360105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2C6" w:rsidRPr="00360105" w:rsidRDefault="00560263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МЖКХ и Э НСО</w:t>
            </w: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52C6" w:rsidRPr="00360105" w:rsidRDefault="009B2CEF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Снижение размера платежей, осуществляемых населением (в части платы за вывоз и захоронение ТКО).</w:t>
            </w:r>
          </w:p>
          <w:p w:rsidR="009B2CEF" w:rsidRPr="00360105" w:rsidRDefault="00F9091D" w:rsidP="002951EE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Убытки возникают по исте</w:t>
            </w:r>
            <w:r w:rsidR="009B2CEF" w:rsidRPr="00360105">
              <w:rPr>
                <w:rFonts w:ascii="Times New Roman" w:hAnsi="Times New Roman" w:cs="Times New Roman"/>
              </w:rPr>
              <w:t>чению календарного года</w:t>
            </w:r>
            <w:r w:rsidR="00A8791E" w:rsidRPr="00360105">
              <w:rPr>
                <w:rFonts w:ascii="Times New Roman" w:hAnsi="Times New Roman" w:cs="Times New Roman"/>
              </w:rPr>
              <w:t xml:space="preserve">, отрасль регулируемой становится с </w:t>
            </w:r>
            <w:r w:rsidR="00A8791E" w:rsidRPr="00360105">
              <w:rPr>
                <w:rFonts w:ascii="Times New Roman" w:hAnsi="Times New Roman" w:cs="Times New Roman"/>
              </w:rPr>
              <w:lastRenderedPageBreak/>
              <w:t xml:space="preserve">момента действия регионального оператора (с 01.01.2019г.). </w:t>
            </w:r>
          </w:p>
        </w:tc>
      </w:tr>
      <w:tr w:rsidR="00FD52C6" w:rsidRPr="00360105" w:rsidTr="003D7B41">
        <w:trPr>
          <w:trHeight w:val="749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1E0D31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Стоимость </w:t>
            </w:r>
            <w:r w:rsidR="00560263" w:rsidRPr="00360105">
              <w:rPr>
                <w:rFonts w:ascii="Times New Roman" w:hAnsi="Times New Roman" w:cs="Times New Roman"/>
              </w:rPr>
              <w:t xml:space="preserve">единицы </w:t>
            </w:r>
            <w:r w:rsidRPr="00360105">
              <w:rPr>
                <w:rFonts w:ascii="Times New Roman" w:hAnsi="Times New Roman" w:cs="Times New Roman"/>
              </w:rPr>
              <w:t>возмещения (тыс. руб.)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8A3FD1">
            <w:pPr>
              <w:jc w:val="center"/>
            </w:pPr>
            <w:r w:rsidRPr="00360105">
              <w:rPr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8A3FD1">
            <w:pPr>
              <w:jc w:val="center"/>
            </w:pPr>
            <w:r w:rsidRPr="00360105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8A3FD1">
            <w:pPr>
              <w:jc w:val="center"/>
            </w:pPr>
            <w:r w:rsidRPr="00360105">
              <w:rPr>
                <w:sz w:val="14"/>
                <w:szCs w:val="14"/>
              </w:rPr>
              <w:t>х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8A3FD1">
            <w:pPr>
              <w:jc w:val="center"/>
            </w:pPr>
            <w:r w:rsidRPr="00360105">
              <w:rPr>
                <w:sz w:val="14"/>
                <w:szCs w:val="14"/>
              </w:rPr>
              <w:t>х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D52C6" w:rsidRPr="00360105" w:rsidTr="003D7B41">
        <w:trPr>
          <w:trHeight w:val="749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8A3FD1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Сумма затрат (тыс. руб.), </w:t>
            </w:r>
          </w:p>
          <w:p w:rsidR="00FD52C6" w:rsidRPr="00360105" w:rsidRDefault="00FD52C6" w:rsidP="008A3FD1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A4211E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D52C6" w:rsidRPr="00360105" w:rsidTr="00731BCA">
        <w:trPr>
          <w:trHeight w:val="419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8A3FD1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A4211E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D52C6" w:rsidRPr="00360105" w:rsidTr="00731BCA">
        <w:trPr>
          <w:trHeight w:val="569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8A3FD1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A4211E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D52C6" w:rsidRPr="00360105" w:rsidTr="00731BCA">
        <w:trPr>
          <w:trHeight w:val="561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8A3FD1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A4211E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 xml:space="preserve"> 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D52C6" w:rsidRPr="00360105" w:rsidTr="00731BCA">
        <w:trPr>
          <w:trHeight w:val="501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8A3FD1">
            <w:pPr>
              <w:pStyle w:val="ConsPlusCell"/>
              <w:rPr>
                <w:rFonts w:ascii="Times New Roman" w:hAnsi="Times New Roman" w:cs="Times New Roman"/>
                <w:color w:val="00B050"/>
              </w:rPr>
            </w:pPr>
            <w:r w:rsidRPr="00360105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A4211E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 xml:space="preserve"> 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C6" w:rsidRPr="00360105" w:rsidRDefault="00FD52C6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749"/>
          <w:tblCellSpacing w:w="5" w:type="nil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37116F" w:rsidP="00C86A0D">
            <w:pPr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2.3. </w:t>
            </w:r>
            <w:r w:rsidR="001219A9" w:rsidRPr="00360105">
              <w:rPr>
                <w:sz w:val="20"/>
                <w:szCs w:val="20"/>
              </w:rPr>
              <w:t xml:space="preserve">Заключение контрактов с операторами по обращению с отходами, осуществляющими деятельность в сфере обращения с отходами в целях создания единой системы </w:t>
            </w:r>
          </w:p>
          <w:p w:rsidR="001219A9" w:rsidRPr="00360105" w:rsidRDefault="001219A9" w:rsidP="00C86A0D">
            <w:pPr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(нарастающим итогом)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Количество</w:t>
            </w:r>
          </w:p>
          <w:p w:rsidR="001219A9" w:rsidRPr="00360105" w:rsidRDefault="001219A9" w:rsidP="00C86A0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контрактов (шт.)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6974FB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6974FB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15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6974FB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6974FB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организации, определяемые Региональным оператором по обращению с ТКО, в  соответствии с территориальной схемой обращения с отходами, в том числе с ТКО,  НСО</w:t>
            </w: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5E0670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Привлечение операторов по обращению с отходами с целью обеспечения деятельности Регионального оператора по обращению с ТКО, (перечень операторов будет уточнен в конце 2018 года)</w:t>
            </w:r>
          </w:p>
        </w:tc>
      </w:tr>
      <w:tr w:rsidR="001219A9" w:rsidRPr="00360105" w:rsidTr="00220D3D">
        <w:trPr>
          <w:trHeight w:val="749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Стоимость единицы (тыс. руб.)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х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х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749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Сумма затрат (тыс. руб.), </w:t>
            </w:r>
          </w:p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98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</w:rPr>
              <w:t>Не требуется дополнительного финансирования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464CAD">
        <w:trPr>
          <w:trHeight w:val="423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464CAD">
        <w:trPr>
          <w:trHeight w:val="505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464CAD">
        <w:trPr>
          <w:trHeight w:val="601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498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color w:val="00B050"/>
              </w:rPr>
            </w:pPr>
            <w:r w:rsidRPr="00360105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749"/>
          <w:tblCellSpacing w:w="5" w:type="nil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>2.4. Возмещение недополученных доходов концессионера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Неполученный доход (тыс. руб.)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МЖКХ и Э НСО</w:t>
            </w: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Возмещение недополученных доходов концессионера (в случае их подтверждения) в рамках и на условиях предусмотренных концессионными соглашениями, </w:t>
            </w:r>
            <w:r w:rsidRPr="00360105">
              <w:rPr>
                <w:rFonts w:ascii="Times New Roman" w:hAnsi="Times New Roman" w:cs="Times New Roman"/>
              </w:rPr>
              <w:lastRenderedPageBreak/>
              <w:t>объем недополученных доходов определяется по итогам годовой хозяйственной деятельности, или в случае наступления особого обстоятельства</w:t>
            </w:r>
            <w:r w:rsidRPr="00360105">
              <w:rPr>
                <w:rFonts w:ascii="Times New Roman" w:hAnsi="Times New Roman" w:cs="Times New Roman"/>
              </w:rPr>
              <w:tab/>
            </w:r>
          </w:p>
        </w:tc>
      </w:tr>
      <w:tr w:rsidR="001219A9" w:rsidRPr="00360105" w:rsidTr="00220D3D">
        <w:trPr>
          <w:trHeight w:val="749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Стоимость единицы (тыс. руб.)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х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х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749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Сумма затрат (тыс. руб.), </w:t>
            </w:r>
          </w:p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749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749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749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749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color w:val="00B050"/>
              </w:rPr>
            </w:pPr>
            <w:r w:rsidRPr="00360105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558"/>
          <w:tblCellSpacing w:w="5" w:type="nil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60105">
              <w:rPr>
                <w:rFonts w:eastAsiaTheme="minorHAnsi"/>
                <w:sz w:val="20"/>
                <w:szCs w:val="20"/>
                <w:lang w:eastAsia="en-US"/>
              </w:rPr>
              <w:t>2.4.1. Мониторинг деятельности концессионера</w:t>
            </w:r>
          </w:p>
          <w:p w:rsidR="001219A9" w:rsidRPr="00360105" w:rsidRDefault="001219A9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Количество мероприятий (ед.)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60105">
              <w:rPr>
                <w:rFonts w:eastAsiaTheme="minorHAnsi"/>
                <w:sz w:val="20"/>
                <w:szCs w:val="20"/>
                <w:lang w:eastAsia="en-US"/>
              </w:rPr>
              <w:t>МЖКХ и Э НСО, концессионер</w:t>
            </w:r>
          </w:p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Выявление наличия (отсутствия) недополученного дохода</w:t>
            </w:r>
          </w:p>
        </w:tc>
      </w:tr>
      <w:tr w:rsidR="001219A9" w:rsidRPr="00360105" w:rsidTr="00220D3D">
        <w:trPr>
          <w:trHeight w:val="749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Стоимость единицы (тыс. руб.)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х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х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749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Сумма затрат (тыс. руб.), </w:t>
            </w:r>
          </w:p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265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411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517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411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color w:val="00B050"/>
              </w:rPr>
            </w:pPr>
            <w:r w:rsidRPr="00360105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410"/>
          <w:tblCellSpacing w:w="5" w:type="nil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both"/>
              <w:rPr>
                <w:sz w:val="20"/>
                <w:szCs w:val="20"/>
              </w:rPr>
            </w:pPr>
            <w:r w:rsidRPr="00360105">
              <w:rPr>
                <w:sz w:val="20"/>
                <w:szCs w:val="20"/>
              </w:rPr>
              <w:t xml:space="preserve">2.6. Актуализация территориальной схемы обращения с отходами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Схема (шт.)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AC0FE4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ДПРиООС НСО, МПР НСО, МЖКХиЭ НСО, </w:t>
            </w:r>
            <w:r w:rsidR="00AC0FE4" w:rsidRPr="00360105">
              <w:rPr>
                <w:rFonts w:ascii="Times New Roman" w:hAnsi="Times New Roman" w:cs="Times New Roman"/>
              </w:rPr>
              <w:t>ООО «Экология-Новосибирск»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Актуализация сведений, отраженных в схеме (количественных характеристик образования отходов, схем потоков отходов, от источника их </w:t>
            </w:r>
            <w:r w:rsidRPr="00360105">
              <w:rPr>
                <w:rFonts w:ascii="Times New Roman" w:hAnsi="Times New Roman" w:cs="Times New Roman"/>
              </w:rPr>
              <w:lastRenderedPageBreak/>
              <w:t>образования до объектов, используемых для обработки, утилизации, обезвреживанияи размещения отходов)</w:t>
            </w:r>
          </w:p>
        </w:tc>
      </w:tr>
      <w:tr w:rsidR="001219A9" w:rsidRPr="00360105" w:rsidTr="00220D3D">
        <w:trPr>
          <w:trHeight w:val="749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Стоимость единицы (тыс. руб.)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х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х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749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Сумма затрат (тыс. руб.), </w:t>
            </w:r>
          </w:p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313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098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48.0.00.04040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244 (226)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417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749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505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360"/>
          <w:tblCellSpacing w:w="5" w:type="nil"/>
        </w:trPr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BF7927">
            <w:pPr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9866BF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BF7927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360"/>
          <w:tblCellSpacing w:w="5" w:type="nil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Итого на решение задачи 2 цели 1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BF7927">
            <w:pPr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9866BF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9866BF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360"/>
          <w:tblCellSpacing w:w="5" w:type="nil"/>
        </w:trPr>
        <w:tc>
          <w:tcPr>
            <w:tcW w:w="1603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3. Задача 3. Цели 1 </w:t>
            </w:r>
          </w:p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Создание условий для легитимного размещения твердых коммунальных отходов на территории Новосибирской области</w:t>
            </w:r>
          </w:p>
        </w:tc>
      </w:tr>
      <w:tr w:rsidR="001219A9" w:rsidRPr="00360105" w:rsidTr="00220D3D">
        <w:trPr>
          <w:trHeight w:val="360"/>
          <w:tblCellSpacing w:w="5" w:type="nil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B2279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3.1. </w:t>
            </w:r>
            <w:r w:rsidR="00BE083E" w:rsidRPr="00360105">
              <w:rPr>
                <w:rFonts w:ascii="Times New Roman" w:hAnsi="Times New Roman" w:cs="Times New Roman"/>
              </w:rPr>
              <w:t>Оказание государственной поддержки муниципальным образованиям Новосибирской области на проектирование, строительство и реконструкцию полигонов ТКО в городских и сельских поселениях Новосибирской области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МЖКХ и Э НСО, </w:t>
            </w:r>
          </w:p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МО НСО</w:t>
            </w: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AC0FE4" w:rsidP="006C3334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2019</w:t>
            </w:r>
            <w:r w:rsidR="001219A9" w:rsidRPr="00360105">
              <w:rPr>
                <w:rFonts w:ascii="Times New Roman" w:hAnsi="Times New Roman" w:cs="Times New Roman"/>
              </w:rPr>
              <w:t xml:space="preserve"> год: строительство полигона с. Северное, </w:t>
            </w:r>
            <w:r w:rsidRPr="00360105">
              <w:rPr>
                <w:rFonts w:ascii="Times New Roman" w:hAnsi="Times New Roman" w:cs="Times New Roman"/>
              </w:rPr>
              <w:t xml:space="preserve">г. Карасук, </w:t>
            </w:r>
            <w:r w:rsidR="001219A9" w:rsidRPr="00360105">
              <w:rPr>
                <w:rFonts w:ascii="Times New Roman" w:hAnsi="Times New Roman" w:cs="Times New Roman"/>
              </w:rPr>
              <w:t>проектир</w:t>
            </w:r>
            <w:r w:rsidRPr="00360105">
              <w:rPr>
                <w:rFonts w:ascii="Times New Roman" w:hAnsi="Times New Roman" w:cs="Times New Roman"/>
              </w:rPr>
              <w:t>ование полигона ТКО – в с. Кыштовка</w:t>
            </w:r>
            <w:r w:rsidR="001219A9" w:rsidRPr="00360105">
              <w:rPr>
                <w:rFonts w:ascii="Times New Roman" w:hAnsi="Times New Roman" w:cs="Times New Roman"/>
              </w:rPr>
              <w:t>;</w:t>
            </w:r>
          </w:p>
          <w:p w:rsidR="001219A9" w:rsidRPr="00360105" w:rsidRDefault="00AC0FE4" w:rsidP="006C3334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2020</w:t>
            </w:r>
            <w:r w:rsidR="001219A9" w:rsidRPr="00360105">
              <w:rPr>
                <w:rFonts w:ascii="Times New Roman" w:hAnsi="Times New Roman" w:cs="Times New Roman"/>
              </w:rPr>
              <w:t xml:space="preserve"> год: строительство полигона ТКО в  с. Завьялово Искитимского района, с. Северное</w:t>
            </w:r>
            <w:r w:rsidRPr="00360105">
              <w:rPr>
                <w:rFonts w:ascii="Times New Roman" w:hAnsi="Times New Roman" w:cs="Times New Roman"/>
              </w:rPr>
              <w:t>, с. Баган</w:t>
            </w:r>
            <w:r w:rsidR="001219A9" w:rsidRPr="00360105">
              <w:rPr>
                <w:rFonts w:ascii="Times New Roman" w:hAnsi="Times New Roman" w:cs="Times New Roman"/>
              </w:rPr>
              <w:t xml:space="preserve">; </w:t>
            </w:r>
          </w:p>
          <w:p w:rsidR="001219A9" w:rsidRPr="00360105" w:rsidRDefault="001219A9" w:rsidP="006C3334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ввод в эксплуатацию – с.</w:t>
            </w:r>
            <w:r w:rsidR="00AC0FE4" w:rsidRPr="00360105">
              <w:rPr>
                <w:rFonts w:ascii="Times New Roman" w:hAnsi="Times New Roman" w:cs="Times New Roman"/>
              </w:rPr>
              <w:t xml:space="preserve"> </w:t>
            </w:r>
            <w:r w:rsidRPr="00360105">
              <w:rPr>
                <w:rFonts w:ascii="Times New Roman" w:hAnsi="Times New Roman" w:cs="Times New Roman"/>
              </w:rPr>
              <w:t>Северное.</w:t>
            </w:r>
          </w:p>
          <w:p w:rsidR="001219A9" w:rsidRPr="00360105" w:rsidRDefault="00AC0FE4" w:rsidP="006C3334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2021</w:t>
            </w:r>
            <w:r w:rsidR="001219A9" w:rsidRPr="00360105">
              <w:rPr>
                <w:rFonts w:ascii="Times New Roman" w:hAnsi="Times New Roman" w:cs="Times New Roman"/>
              </w:rPr>
              <w:t xml:space="preserve"> год: </w:t>
            </w:r>
            <w:r w:rsidR="001219A9" w:rsidRPr="00360105">
              <w:rPr>
                <w:rFonts w:ascii="Times New Roman" w:hAnsi="Times New Roman" w:cs="Times New Roman"/>
              </w:rPr>
              <w:lastRenderedPageBreak/>
              <w:t>строительство пол</w:t>
            </w:r>
            <w:r w:rsidRPr="00360105">
              <w:rPr>
                <w:rFonts w:ascii="Times New Roman" w:hAnsi="Times New Roman" w:cs="Times New Roman"/>
              </w:rPr>
              <w:t>игонов в с. Баган, г. Болотное;</w:t>
            </w:r>
          </w:p>
          <w:p w:rsidR="001219A9" w:rsidRPr="00360105" w:rsidRDefault="001219A9" w:rsidP="006C3334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ввод в эксплуа</w:t>
            </w:r>
            <w:r w:rsidR="00D473A7" w:rsidRPr="00360105">
              <w:rPr>
                <w:rFonts w:ascii="Times New Roman" w:hAnsi="Times New Roman" w:cs="Times New Roman"/>
              </w:rPr>
              <w:t xml:space="preserve">тацию – с. Баган, г. Болотное, </w:t>
            </w:r>
            <w:r w:rsidR="00D473A7" w:rsidRPr="002D3E1A">
              <w:rPr>
                <w:rFonts w:ascii="Times New Roman" w:hAnsi="Times New Roman" w:cs="Times New Roman"/>
              </w:rPr>
              <w:t>Искитимский район (Совхозный с/с)</w:t>
            </w:r>
          </w:p>
          <w:p w:rsidR="001219A9" w:rsidRPr="00360105" w:rsidRDefault="001219A9" w:rsidP="006C3334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</w:tr>
      <w:tr w:rsidR="001219A9" w:rsidRPr="00360105" w:rsidTr="00220D3D">
        <w:trPr>
          <w:trHeight w:val="702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Стоимость единицы (тыс. руб.)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083E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Сумма затрат (тыс. руб.), </w:t>
            </w:r>
          </w:p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56 496,6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56 496,6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141 519,0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7E6B32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1 491 519,0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083E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2D3E1A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48.0.02</w:t>
            </w:r>
            <w:r w:rsidR="00BE083E" w:rsidRPr="00360105">
              <w:rPr>
                <w:rFonts w:ascii="Times New Roman" w:hAnsi="Times New Roman" w:cs="Times New Roman"/>
                <w:sz w:val="14"/>
                <w:szCs w:val="14"/>
              </w:rPr>
              <w:t>.70480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 xml:space="preserve">522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53 806,3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53 806,3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134 780,0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134 780,0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083E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E083E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местные бюджеты</w:t>
            </w:r>
            <w:r w:rsidRPr="00360105">
              <w:rPr>
                <w:rFonts w:ascii="Times New Roman" w:hAnsi="Times New Roman" w:cs="Times New Roman"/>
                <w:vertAlign w:val="superscript"/>
              </w:rPr>
              <w:t>*</w:t>
            </w:r>
            <w:r w:rsidRPr="003601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2 690,0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2 690,0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6 739,0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6 739,0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83E" w:rsidRPr="00360105" w:rsidRDefault="00BE083E" w:rsidP="00BE08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D473A7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1 350 000,0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1219A9">
        <w:trPr>
          <w:trHeight w:val="360"/>
          <w:tblCellSpacing w:w="5" w:type="nil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3.1.1. </w:t>
            </w:r>
            <w:r w:rsidR="00BE083E" w:rsidRPr="00360105">
              <w:rPr>
                <w:rFonts w:ascii="Times New Roman" w:hAnsi="Times New Roman" w:cs="Times New Roman"/>
              </w:rPr>
              <w:t xml:space="preserve">Оказание государственной поддержки муниципальным </w:t>
            </w:r>
            <w:r w:rsidR="00BE083E" w:rsidRPr="00360105">
              <w:rPr>
                <w:rFonts w:ascii="Times New Roman" w:hAnsi="Times New Roman" w:cs="Times New Roman"/>
              </w:rPr>
              <w:lastRenderedPageBreak/>
              <w:t>образованиям Новосибирской области на строительство и реконструкцию</w:t>
            </w:r>
            <w:r w:rsidRPr="0036010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360105">
              <w:rPr>
                <w:rFonts w:ascii="Times New Roman" w:hAnsi="Times New Roman" w:cs="Times New Roman"/>
              </w:rPr>
              <w:t xml:space="preserve">полигонов </w:t>
            </w:r>
            <w:r w:rsidR="00147B31" w:rsidRPr="00360105">
              <w:rPr>
                <w:rFonts w:ascii="Times New Roman" w:hAnsi="Times New Roman" w:cs="Times New Roman"/>
              </w:rPr>
              <w:t>ТКО</w:t>
            </w:r>
            <w:r w:rsidRPr="00360105">
              <w:rPr>
                <w:rFonts w:ascii="Times New Roman" w:hAnsi="Times New Roman" w:cs="Times New Roman"/>
              </w:rPr>
              <w:t xml:space="preserve"> в городских и сельских поселениях Новосибирской области</w:t>
            </w:r>
          </w:p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lastRenderedPageBreak/>
              <w:t>Количество строящихся (реконструируемых) объектов (ед.)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BE083E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5510F5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D93C1B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BE083E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BE083E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A9" w:rsidRPr="00360105" w:rsidRDefault="00BE083E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МЖКХ и Э НСО, </w:t>
            </w:r>
          </w:p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МО НСО</w:t>
            </w: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1219A9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Стоимость единицы (тыс. руб.)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E6B32" w:rsidRPr="00360105" w:rsidTr="00BF7927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Сумма затрат (тыс. руб.), </w:t>
            </w:r>
          </w:p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56 496,6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56 496,6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141 519,0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1 491 519,0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E6B32" w:rsidRPr="00360105" w:rsidTr="00BF7927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2D3E1A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48.0.02</w:t>
            </w:r>
            <w:r w:rsidR="007E6B32" w:rsidRPr="00360105">
              <w:rPr>
                <w:rFonts w:ascii="Times New Roman" w:hAnsi="Times New Roman" w:cs="Times New Roman"/>
                <w:sz w:val="14"/>
                <w:szCs w:val="14"/>
              </w:rPr>
              <w:t>.70480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 xml:space="preserve">522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53 806,3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53 806,3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134 780,0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134 780,0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E6B32" w:rsidRPr="00360105" w:rsidTr="00BF7927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E6B32" w:rsidRPr="00360105" w:rsidTr="00BF7927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местные бюджеты</w:t>
            </w:r>
            <w:r w:rsidRPr="00360105">
              <w:rPr>
                <w:rFonts w:ascii="Times New Roman" w:hAnsi="Times New Roman" w:cs="Times New Roman"/>
                <w:vertAlign w:val="superscript"/>
              </w:rPr>
              <w:t>*</w:t>
            </w:r>
            <w:r w:rsidRPr="003601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2 690,0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2 690,0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6 739,0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6 739,0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E6B32" w:rsidRPr="00360105" w:rsidTr="007E6B32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32" w:rsidRPr="00360105" w:rsidRDefault="007E6B32" w:rsidP="007E6B3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1 350 000,0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B32" w:rsidRPr="00360105" w:rsidRDefault="007E6B32" w:rsidP="007E6B3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1219A9">
        <w:trPr>
          <w:trHeight w:val="360"/>
          <w:tblCellSpacing w:w="5" w:type="nil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3.1.2. Обслуживание полигонов ТКО (из числа включенных в ГРОРО)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Количество (ед.)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BE083E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BE083E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BE083E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BE083E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BE083E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BE083E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9A9" w:rsidRPr="00360105" w:rsidRDefault="00317DBF" w:rsidP="003D70FC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ОКК</w:t>
            </w: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19A9" w:rsidRPr="00360105" w:rsidRDefault="001219A9" w:rsidP="004C0EBF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Обеспечение деятельности полигонов ТКО, позволяющих захоранивать  ТКО на уровне </w:t>
            </w:r>
            <w:r w:rsidR="00547654" w:rsidRPr="00360105">
              <w:rPr>
                <w:rFonts w:ascii="Times New Roman" w:hAnsi="Times New Roman" w:cs="Times New Roman"/>
              </w:rPr>
              <w:t>80</w:t>
            </w:r>
            <w:r w:rsidRPr="00360105">
              <w:rPr>
                <w:rFonts w:ascii="Times New Roman" w:hAnsi="Times New Roman" w:cs="Times New Roman"/>
              </w:rPr>
              <w:t>% (по отношению к показателю 2014 года) от общего количества ТКО, образующихся у населения</w:t>
            </w:r>
          </w:p>
        </w:tc>
      </w:tr>
      <w:tr w:rsidR="001219A9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Стоимость единицы (тыс. руб.)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Сумма затрат (тыс. руб.), </w:t>
            </w:r>
          </w:p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местные бюджеты</w:t>
            </w:r>
            <w:r w:rsidRPr="00360105">
              <w:rPr>
                <w:rFonts w:ascii="Times New Roman" w:hAnsi="Times New Roman" w:cs="Times New Roman"/>
                <w:vertAlign w:val="superscript"/>
              </w:rPr>
              <w:t>*</w:t>
            </w:r>
            <w:r w:rsidRPr="003601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360"/>
          <w:tblCellSpacing w:w="5" w:type="nil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60105">
              <w:rPr>
                <w:rFonts w:eastAsiaTheme="minorHAnsi"/>
                <w:sz w:val="20"/>
                <w:szCs w:val="20"/>
                <w:lang w:eastAsia="en-US"/>
              </w:rPr>
              <w:t>3.1.3. Мониторинг включения полигонов ТКО в ГРОРО</w:t>
            </w:r>
          </w:p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60105">
              <w:rPr>
                <w:rFonts w:eastAsiaTheme="minorHAnsi"/>
                <w:sz w:val="20"/>
                <w:szCs w:val="20"/>
                <w:lang w:eastAsia="en-US"/>
              </w:rPr>
              <w:t>Количество (ед.)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BE083E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BE083E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BE083E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BE083E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BE083E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BE083E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317DBF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60105">
              <w:rPr>
                <w:rFonts w:eastAsiaTheme="minorHAnsi"/>
                <w:sz w:val="20"/>
                <w:szCs w:val="20"/>
                <w:lang w:eastAsia="en-US"/>
              </w:rPr>
              <w:t>МЖКХ и Э НСО, ОКК</w:t>
            </w: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60105">
              <w:rPr>
                <w:rFonts w:eastAsiaTheme="minorHAnsi"/>
                <w:sz w:val="20"/>
                <w:szCs w:val="20"/>
                <w:lang w:eastAsia="en-US"/>
              </w:rPr>
              <w:t>Актуализация сведений о включении полигонов ТКО в ГРОРО</w:t>
            </w:r>
          </w:p>
        </w:tc>
      </w:tr>
      <w:tr w:rsidR="001219A9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Стоимость единицы (тыс. руб.)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Сумма затрат (тыс. руб.), </w:t>
            </w:r>
          </w:p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9858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05">
              <w:rPr>
                <w:rFonts w:ascii="Times New Roman" w:hAnsi="Times New Roman" w:cs="Times New Roman"/>
                <w:sz w:val="24"/>
                <w:szCs w:val="24"/>
              </w:rPr>
              <w:t>Не требует затрат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местные бюджеты</w:t>
            </w:r>
            <w:r w:rsidRPr="00360105">
              <w:rPr>
                <w:rFonts w:ascii="Times New Roman" w:hAnsi="Times New Roman" w:cs="Times New Roman"/>
                <w:vertAlign w:val="superscript"/>
              </w:rPr>
              <w:t>*</w:t>
            </w:r>
            <w:r w:rsidRPr="003601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7A14C9">
        <w:trPr>
          <w:trHeight w:val="360"/>
          <w:tblCellSpacing w:w="5" w:type="nil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8A100D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3.2.</w:t>
            </w:r>
            <w:r w:rsidRPr="00360105">
              <w:t xml:space="preserve"> </w:t>
            </w:r>
            <w:r w:rsidR="00AC0FE4" w:rsidRPr="00360105">
              <w:rPr>
                <w:rFonts w:ascii="Times New Roman" w:hAnsi="Times New Roman" w:cs="Times New Roman"/>
              </w:rPr>
              <w:t>Оказание государственной поддержки муниципальным образованиям Новосибирской области на проектирование и создание инфраструктуры в сфере обращения с ТКО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Количество </w:t>
            </w:r>
            <w:r w:rsidR="00CC119B" w:rsidRPr="00360105">
              <w:rPr>
                <w:rFonts w:ascii="Times New Roman" w:hAnsi="Times New Roman" w:cs="Times New Roman"/>
              </w:rPr>
              <w:t xml:space="preserve">проектируемых </w:t>
            </w:r>
            <w:r w:rsidRPr="00360105">
              <w:rPr>
                <w:rFonts w:ascii="Times New Roman" w:hAnsi="Times New Roman" w:cs="Times New Roman"/>
              </w:rPr>
              <w:t>площадок (ед.)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CC119B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CC119B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CC119B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CC119B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МЖКХ и Э НСО, </w:t>
            </w:r>
          </w:p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МО НСО</w:t>
            </w: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Проектирование и создание площадок временного накопления ТКО, согласно территориальной схеме обращения с отходами, в том числе с твердыми коммунальными отходами, Новосибирской области, утвержденной постановлением Правительства НСО от 26.09.2016 № 292-п.</w:t>
            </w:r>
          </w:p>
          <w:p w:rsidR="001219A9" w:rsidRPr="00360105" w:rsidRDefault="001219A9" w:rsidP="00BE083E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За три года планируется построить </w:t>
            </w:r>
            <w:r w:rsidR="00BE083E" w:rsidRPr="00360105">
              <w:rPr>
                <w:rFonts w:ascii="Times New Roman" w:hAnsi="Times New Roman" w:cs="Times New Roman"/>
              </w:rPr>
              <w:t xml:space="preserve">20 </w:t>
            </w:r>
            <w:r w:rsidRPr="00360105">
              <w:rPr>
                <w:rFonts w:ascii="Times New Roman" w:hAnsi="Times New Roman" w:cs="Times New Roman"/>
              </w:rPr>
              <w:t>площадок временного накопления</w:t>
            </w:r>
          </w:p>
        </w:tc>
      </w:tr>
      <w:tr w:rsidR="001219A9" w:rsidRPr="00360105" w:rsidTr="007A14C9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Стоимость единицы (тыс. руб.)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2 709,7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1 396,9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2 746,4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7A14C9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Сумма затрат (тыс. руб.), </w:t>
            </w:r>
          </w:p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CC119B" w:rsidP="00BE083E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68 253,3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CC119B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CC119B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68 253,3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CC119B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65 091,3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CC119B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63 537,7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7A14C9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2D3E1A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48.0.03</w:t>
            </w:r>
            <w:r w:rsidR="001219A9" w:rsidRPr="00360105">
              <w:rPr>
                <w:rFonts w:ascii="Times New Roman" w:hAnsi="Times New Roman" w:cs="Times New Roman"/>
                <w:sz w:val="14"/>
                <w:szCs w:val="14"/>
              </w:rPr>
              <w:t>.70960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 xml:space="preserve">522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CC119B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65 003,1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CC119B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CC119B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65 003,1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CC119B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61 991,7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CC119B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60 512,1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7A14C9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7A14C9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местные бюджеты</w:t>
            </w:r>
            <w:r w:rsidRPr="00360105">
              <w:rPr>
                <w:rFonts w:ascii="Times New Roman" w:hAnsi="Times New Roman" w:cs="Times New Roman"/>
                <w:vertAlign w:val="superscript"/>
              </w:rPr>
              <w:t>*</w:t>
            </w:r>
            <w:r w:rsidRPr="003601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CC119B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3 250,2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CC119B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CC119B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3 250,2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CC119B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3 099,6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CC119B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3 025,6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9A9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7A14C9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9" w:rsidRPr="00360105" w:rsidRDefault="001219A9" w:rsidP="00C86A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F7927" w:rsidRPr="00360105" w:rsidTr="00BF7927">
        <w:trPr>
          <w:trHeight w:val="360"/>
          <w:tblCellSpacing w:w="5" w:type="nil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3.3 Оказание государственной поддержки муниципальным образованиям Новосибирской области на реализацию мероприятий по </w:t>
            </w:r>
            <w:r w:rsidRPr="00360105">
              <w:rPr>
                <w:rFonts w:ascii="Times New Roman" w:hAnsi="Times New Roman" w:cs="Times New Roman"/>
              </w:rPr>
              <w:lastRenderedPageBreak/>
              <w:t>введению</w:t>
            </w:r>
          </w:p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в промышленную эксплуатацию мощностей по обработке ТКО и мощностей по утилизации отходов</w:t>
            </w:r>
          </w:p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и фракций после обработки ТКО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lastRenderedPageBreak/>
              <w:t>Количество проектируемых объектов (ед.)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464CAD" w:rsidP="00AC0FE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464CAD" w:rsidP="00AC0FE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464CAD" w:rsidP="00AC0FE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464CAD" w:rsidP="00AC0FE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МЖКХиЭ НСО</w:t>
            </w: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927" w:rsidRPr="00360105" w:rsidRDefault="00BF7927" w:rsidP="00A7029A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 рамках федерального проекта «Комплексная система обращения с ТКО», входящего в состав </w:t>
            </w:r>
            <w:r w:rsidRPr="00360105">
              <w:rPr>
                <w:rFonts w:ascii="Times New Roman" w:hAnsi="Times New Roman" w:cs="Times New Roman"/>
              </w:rPr>
              <w:lastRenderedPageBreak/>
              <w:t>национального проекта «Экология» в 2020-2021 годах планируется строительство мусоросортировочных линий в Карасукском, Краснозерском, Черепановском районах НСО</w:t>
            </w:r>
            <w:r w:rsidR="00A7029A" w:rsidRPr="00360105">
              <w:t xml:space="preserve"> в </w:t>
            </w:r>
            <w:r w:rsidR="00A7029A" w:rsidRPr="00360105">
              <w:rPr>
                <w:rFonts w:ascii="Times New Roman" w:hAnsi="Times New Roman" w:cs="Times New Roman"/>
              </w:rPr>
              <w:t>целях</w:t>
            </w:r>
            <w:r w:rsidR="00A7029A" w:rsidRPr="00360105">
              <w:t xml:space="preserve"> </w:t>
            </w:r>
            <w:r w:rsidR="00A7029A" w:rsidRPr="00360105">
              <w:rPr>
                <w:rFonts w:ascii="Times New Roman" w:hAnsi="Times New Roman" w:cs="Times New Roman"/>
              </w:rPr>
              <w:t>дооснащения ОРО мусоросортировочными линиями для обработки ТКО, в соответствии с нормативными требованиями</w:t>
            </w:r>
          </w:p>
        </w:tc>
      </w:tr>
      <w:tr w:rsidR="00BF7927" w:rsidRPr="00360105" w:rsidTr="00BF7927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Стоимость единицы (тыс. руб.)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464CAD" w:rsidP="00AC0FE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464CAD" w:rsidP="00AC0FE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464CAD" w:rsidP="00AC0FE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464CAD" w:rsidP="00AC0FE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464CAD" w:rsidP="00AC0FE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464CAD" w:rsidP="00AC0FE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19 516,5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19 516,5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F7927" w:rsidRPr="00360105" w:rsidTr="00BF7927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Сумма затрат (тыс. руб.), </w:t>
            </w:r>
          </w:p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464CAD" w:rsidP="00AC0FE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464CAD" w:rsidP="00AC0FE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464CAD" w:rsidP="00AC0FE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464CAD" w:rsidP="00AC0FE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464CAD" w:rsidP="00AC0FE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4 375,0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54 174,6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F7927" w:rsidRPr="00360105" w:rsidTr="00BF7927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521E37" w:rsidP="00AC0FE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06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521E37" w:rsidP="00AC0FE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2D3E1A" w:rsidP="00AC0FE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48.0.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G</w:t>
            </w:r>
            <w:r w:rsidR="00521E37" w:rsidRPr="00360105">
              <w:rPr>
                <w:rFonts w:ascii="Times New Roman" w:hAnsi="Times New Roman" w:cs="Times New Roman"/>
                <w:sz w:val="14"/>
                <w:szCs w:val="14"/>
              </w:rPr>
              <w:t>2.52970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521E37" w:rsidP="00AC0FE4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522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464CAD" w:rsidP="00AC0FE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464CAD" w:rsidP="00AC0FE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464CAD" w:rsidP="00AC0FE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464CAD" w:rsidP="00AC0FE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464CAD" w:rsidP="00AC0FE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166,7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2 063,8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927" w:rsidRPr="00360105" w:rsidRDefault="00BF7927" w:rsidP="00AC0FE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BF7927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06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2D3E1A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48.0.G</w:t>
            </w:r>
            <w:r w:rsidR="00521E37" w:rsidRPr="00360105">
              <w:rPr>
                <w:rFonts w:ascii="Times New Roman" w:hAnsi="Times New Roman" w:cs="Times New Roman"/>
                <w:sz w:val="14"/>
                <w:szCs w:val="14"/>
              </w:rPr>
              <w:t>2.52970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522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4 000,0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49 531,1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BF7927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местные бюджеты</w:t>
            </w:r>
            <w:r w:rsidRPr="00360105">
              <w:rPr>
                <w:rFonts w:ascii="Times New Roman" w:hAnsi="Times New Roman" w:cs="Times New Roman"/>
                <w:vertAlign w:val="superscript"/>
              </w:rPr>
              <w:t>*</w:t>
            </w:r>
            <w:r w:rsidRPr="003601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208,3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2 579,7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CC435A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822F2" w:rsidRPr="00360105" w:rsidTr="00D20FA1">
        <w:trPr>
          <w:trHeight w:val="360"/>
          <w:tblCellSpacing w:w="5" w:type="nil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Итого на решение задачи 3 цели 1</w:t>
            </w:r>
          </w:p>
          <w:p w:rsidR="00F822F2" w:rsidRPr="00360105" w:rsidRDefault="00F822F2" w:rsidP="00F822F2"/>
          <w:p w:rsidR="00F822F2" w:rsidRPr="00360105" w:rsidRDefault="00F822F2" w:rsidP="00F822F2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124 749,6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124 749,6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210 985,3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1 609 231,4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822F2" w:rsidRPr="00360105" w:rsidTr="00D20FA1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118 809,4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118 809,4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196 938,4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197 356,0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822F2" w:rsidRPr="00360105" w:rsidTr="00D20FA1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4 000,0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49 531,1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822F2" w:rsidRPr="00360105" w:rsidTr="00D20FA1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5 940,2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5 940,2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10 046,9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12 344,3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22F2" w:rsidRPr="00360105" w:rsidRDefault="00F822F2" w:rsidP="00F822F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D20FA1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7A2C4D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1 350 000,0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034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4. Задача 4. Цели 1 </w:t>
            </w:r>
          </w:p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Создание инфраструктуры по раздельному сбору отходов</w:t>
            </w: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4.1. Софинансирование расходов местных бюджетов на мероприятия по формированию </w:t>
            </w:r>
            <w:r w:rsidRPr="00360105">
              <w:rPr>
                <w:rFonts w:ascii="Times New Roman" w:hAnsi="Times New Roman" w:cs="Times New Roman"/>
              </w:rPr>
              <w:lastRenderedPageBreak/>
              <w:t>инфраструктуры по раздельному сбору отходов в городе Новосибирске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lastRenderedPageBreak/>
              <w:t xml:space="preserve">Количество районов, в </w:t>
            </w:r>
          </w:p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которых созданы объекты (ед.)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МЖКХ и Э НСО, мэрия г. Новосибирска</w:t>
            </w: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60105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системы раздельного сбора отходов позволит внедрить на уровне пилотных проектов в 2022 году в 2 районах, в 2023 году </w:t>
            </w:r>
            <w:r w:rsidRPr="0036010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ещё в 2 районах города Новосибирска раздельный сбор посредством установки пунктов приема отходов, что позволит увеличить долю вовлекаемых отходов для вторичного использования.</w:t>
            </w:r>
          </w:p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60105">
              <w:rPr>
                <w:rFonts w:ascii="Times New Roman" w:hAnsi="Times New Roman" w:cs="Times New Roman"/>
                <w:sz w:val="16"/>
                <w:szCs w:val="16"/>
              </w:rPr>
              <w:t>Объемы финансирования будут формироваться при подготовке проекта бюджета на 2022 год.</w:t>
            </w: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Стоимость единицы (тыс. руб.)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Сумма затрат (тыс. руб.), </w:t>
            </w:r>
          </w:p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местные бюджеты*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Итого на решение задачи 4 цели 1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местные бюджеты*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034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5. Задача 5 Цели 1 –Расширение использования природного газа в качестве моторного топлива на автомобильном транспорте специального назначения операторов по обращению с твердыми коммунальными отходами </w:t>
            </w:r>
          </w:p>
        </w:tc>
      </w:tr>
      <w:tr w:rsidR="00521E37" w:rsidRPr="00360105" w:rsidTr="00220D3D">
        <w:trPr>
          <w:trHeight w:val="720"/>
          <w:tblCellSpacing w:w="5" w:type="nil"/>
        </w:trPr>
        <w:tc>
          <w:tcPr>
            <w:tcW w:w="169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5.1. Мероприятия по приобретению (или перевод) колесной техники специального назначения (для сбора и транспортирования отходов), использующих компримированный природный газ в качестве </w:t>
            </w:r>
            <w:r w:rsidRPr="00360105">
              <w:rPr>
                <w:rFonts w:ascii="Times New Roman" w:hAnsi="Times New Roman" w:cs="Times New Roman"/>
              </w:rPr>
              <w:lastRenderedPageBreak/>
              <w:t>моторного топлива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lastRenderedPageBreak/>
              <w:t>Количество</w:t>
            </w:r>
            <w:r w:rsidRPr="00360105">
              <w:rPr>
                <w:rFonts w:ascii="Times New Roman" w:hAnsi="Times New Roman" w:cs="Times New Roman"/>
                <w:color w:val="548DD4" w:themeColor="text2" w:themeTint="99"/>
              </w:rPr>
              <w:t xml:space="preserve"> </w:t>
            </w:r>
            <w:r w:rsidRPr="00360105">
              <w:rPr>
                <w:rFonts w:ascii="Times New Roman" w:hAnsi="Times New Roman" w:cs="Times New Roman"/>
              </w:rPr>
              <w:t>техники</w:t>
            </w:r>
          </w:p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(ед.)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МЖКХ и Э НСО,</w:t>
            </w:r>
          </w:p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Операторы по обращению с отходами, региональный оператор</w:t>
            </w:r>
          </w:p>
        </w:tc>
        <w:tc>
          <w:tcPr>
            <w:tcW w:w="15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60105">
              <w:rPr>
                <w:rFonts w:ascii="Times New Roman" w:hAnsi="Times New Roman" w:cs="Times New Roman"/>
                <w:sz w:val="18"/>
                <w:szCs w:val="18"/>
              </w:rPr>
              <w:t>Внедрение и эксплуатация техники, работающей на газомоторном топливе, позволит за счет внебюджетных источников до конца 2021 года увеличить данный показатель на 6 единиц.</w:t>
            </w:r>
          </w:p>
        </w:tc>
      </w:tr>
      <w:tr w:rsidR="00521E37" w:rsidRPr="00360105" w:rsidTr="00220D3D">
        <w:trPr>
          <w:trHeight w:val="213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Стоимость единицы (тыс. руб.)  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5663,0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5663,0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54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Сумма затрат (тыс. руб.), </w:t>
            </w:r>
          </w:p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16989,0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16989,0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267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областной бюджет      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2D3E1A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413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282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местные </w:t>
            </w:r>
            <w:r w:rsidRPr="00360105">
              <w:rPr>
                <w:rFonts w:ascii="Times New Roman" w:hAnsi="Times New Roman" w:cs="Times New Roman"/>
              </w:rPr>
              <w:lastRenderedPageBreak/>
              <w:t>бюджеты</w:t>
            </w:r>
            <w:r w:rsidRPr="00360105">
              <w:rPr>
                <w:rFonts w:ascii="Times New Roman" w:hAnsi="Times New Roman" w:cs="Times New Roman"/>
                <w:vertAlign w:val="superscript"/>
              </w:rPr>
              <w:t>*</w:t>
            </w:r>
            <w:r w:rsidRPr="00360105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16 989,0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45 304,0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Итого на решение задачи 5 цели 1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16 989,0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45 304,0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405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местные бюджеты*     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16 989,0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45 304,0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034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6. Задача 6 Цели 1 – Ликвидация накопленного экологического ущерба (экологическая реабилитация территорий) </w:t>
            </w: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6.1.Софинансирование проектов МО НСО по рекультивации земельных участков, загрязненных в результате хозяйственной и иной деятельности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Количество</w:t>
            </w:r>
            <w:r w:rsidRPr="00360105">
              <w:rPr>
                <w:rFonts w:ascii="Times New Roman" w:hAnsi="Times New Roman" w:cs="Times New Roman"/>
                <w:color w:val="548DD4" w:themeColor="text2" w:themeTint="99"/>
              </w:rPr>
              <w:t xml:space="preserve"> </w:t>
            </w:r>
            <w:r w:rsidRPr="00360105">
              <w:rPr>
                <w:rFonts w:ascii="Times New Roman" w:hAnsi="Times New Roman" w:cs="Times New Roman"/>
              </w:rPr>
              <w:t>реализованных проектов МО</w:t>
            </w:r>
          </w:p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(ед.)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МЖКХиЭ НСО, МО НСО</w:t>
            </w: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r w:rsidRPr="00360105">
              <w:rPr>
                <w:sz w:val="18"/>
                <w:szCs w:val="18"/>
              </w:rPr>
              <w:t>Планируется участие в рамках государственной программы Российской Федерации «Охрана окружающей среды» на 2012 - 2020 годы», утвержденной Постановлением Правительства РФ от 15.04.2014</w:t>
            </w:r>
            <w:r w:rsidRPr="00360105">
              <w:rPr>
                <w:sz w:val="20"/>
                <w:szCs w:val="20"/>
              </w:rPr>
              <w:t xml:space="preserve"> № 326 с 2019 года, объем софинансирования будет определен в 2020 -2021 годах, при формировании заявки на участие в федеральной программе.</w:t>
            </w: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Стоимость единицы (тыс. руб.)  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Сумма затрат (тыс. руб.), </w:t>
            </w:r>
          </w:p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областной бюджет      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D20FA1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местные бюджеты*     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60105">
              <w:rPr>
                <w:rFonts w:eastAsiaTheme="minorHAnsi"/>
                <w:sz w:val="20"/>
                <w:szCs w:val="20"/>
                <w:lang w:eastAsia="en-US"/>
              </w:rPr>
              <w:t xml:space="preserve">6.1.1. </w:t>
            </w:r>
            <w:r w:rsidRPr="0036010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Формирование документов на получение средств федерального бюджета</w:t>
            </w:r>
          </w:p>
          <w:p w:rsidR="00521E37" w:rsidRPr="00360105" w:rsidRDefault="00521E37" w:rsidP="00521E37">
            <w:pPr>
              <w:jc w:val="center"/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lastRenderedPageBreak/>
              <w:t xml:space="preserve">Количество </w:t>
            </w:r>
            <w:r w:rsidRPr="00360105">
              <w:rPr>
                <w:rFonts w:ascii="Times New Roman" w:hAnsi="Times New Roman" w:cs="Times New Roman"/>
              </w:rPr>
              <w:lastRenderedPageBreak/>
              <w:t>мероприятий (ед.)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МЖКХ и Э </w:t>
            </w:r>
            <w:r w:rsidRPr="00360105">
              <w:rPr>
                <w:rFonts w:ascii="Times New Roman" w:hAnsi="Times New Roman" w:cs="Times New Roman"/>
              </w:rPr>
              <w:lastRenderedPageBreak/>
              <w:t>НСО, МО НСО</w:t>
            </w: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lastRenderedPageBreak/>
              <w:t xml:space="preserve">Заключение </w:t>
            </w:r>
            <w:r w:rsidRPr="00360105">
              <w:rPr>
                <w:rFonts w:ascii="Times New Roman" w:hAnsi="Times New Roman" w:cs="Times New Roman"/>
              </w:rPr>
              <w:lastRenderedPageBreak/>
              <w:t>соглашений на получение средств федерального бюджета</w:t>
            </w: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Стоимость единицы (тыс. руб.)  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х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Сумма затрат (тыс. руб.), </w:t>
            </w:r>
          </w:p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областной бюджет      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местные бюджеты*     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D20FA1">
        <w:trPr>
          <w:trHeight w:val="254"/>
          <w:tblCellSpacing w:w="5" w:type="nil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Итого на решение задачи 6 цели 1 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D20FA1">
        <w:trPr>
          <w:trHeight w:val="254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D20FA1">
        <w:trPr>
          <w:trHeight w:val="396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D20FA1">
        <w:trPr>
          <w:trHeight w:val="297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местные бюджеты*     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BF7927">
        <w:trPr>
          <w:trHeight w:val="360"/>
          <w:tblCellSpacing w:w="5" w:type="nil"/>
        </w:trPr>
        <w:tc>
          <w:tcPr>
            <w:tcW w:w="16034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7. Задача 7 Цели 1 – Ликвидация несанкционированных свалок твердых коммунальных отходов в границах городов, городских округов Новосибирской области и рекультивация территорий, на которых они размещены.</w:t>
            </w:r>
          </w:p>
        </w:tc>
      </w:tr>
      <w:tr w:rsidR="00521E37" w:rsidRPr="00360105" w:rsidTr="00D20FA1">
        <w:trPr>
          <w:trHeight w:val="360"/>
          <w:tblCellSpacing w:w="5" w:type="nil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7.1. Софинансирование расходов местных бюджетов на разработку проектно-сметной документации для реализации мероприятий по ликвидации объектов (мест) </w:t>
            </w:r>
            <w:r w:rsidRPr="00360105">
              <w:rPr>
                <w:rFonts w:ascii="Times New Roman" w:hAnsi="Times New Roman" w:cs="Times New Roman"/>
              </w:rPr>
              <w:lastRenderedPageBreak/>
              <w:t>незаконного размещения твердых коммунальных отходов в границах городов, городских округов Новосибирской области, и рекультивация территорий, на которых они размещены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lastRenderedPageBreak/>
              <w:t>Количество мероприятий (ед.)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МПР НСО, МО НСО</w:t>
            </w: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Планируется Разработка проектно-сметная документации на реализацию мероприятий по ликвидации объектов (мест) незаконного размещения ТКО в границах городов, </w:t>
            </w:r>
            <w:r w:rsidRPr="00360105">
              <w:rPr>
                <w:rFonts w:ascii="Times New Roman" w:hAnsi="Times New Roman" w:cs="Times New Roman"/>
              </w:rPr>
              <w:lastRenderedPageBreak/>
              <w:t>городских округов НСО.</w:t>
            </w:r>
          </w:p>
        </w:tc>
      </w:tr>
      <w:tr w:rsidR="00521E37" w:rsidRPr="00360105" w:rsidTr="00D20FA1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Стоимость единицы (тыс. руб.)  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D20FA1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Сумма затрат (тыс. руб.), </w:t>
            </w:r>
          </w:p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D20FA1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областной бюджет      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D20FA1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D20FA1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местные бюджеты*     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D20FA1">
        <w:trPr>
          <w:trHeight w:val="360"/>
          <w:tblCellSpacing w:w="5" w:type="nil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7.2. Софинансирование расходов местных бюджетов на реализацию мероприятий по ликвидации объектов (мест) незаконного размещения твердых коммунальных отходов в границах городов, городских округов Новосибирской области, и рекультивация территорий, на которых они размещены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Количество мероприятий (ед.)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МПР НСО, МО НСО</w:t>
            </w: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К концу 2020 года планируется возвратить в хозяйственный оборот не менее 9,18 га земель</w:t>
            </w:r>
          </w:p>
        </w:tc>
      </w:tr>
      <w:tr w:rsidR="00521E37" w:rsidRPr="00360105" w:rsidTr="00D20FA1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Стоимость единицы (тыс. руб.)  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D20FA1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Сумма затрат (тыс. руб.), </w:t>
            </w:r>
          </w:p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 том числе: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330 192,0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D20FA1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областной бюджет      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06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2D3E1A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48.0.G1.52420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522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12 547,6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D20FA1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06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2D3E1A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2D3E1A">
              <w:rPr>
                <w:rFonts w:ascii="Times New Roman" w:hAnsi="Times New Roman" w:cs="Times New Roman"/>
                <w:sz w:val="14"/>
                <w:szCs w:val="14"/>
              </w:rPr>
              <w:t>48.0.G1.52420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522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316 984,0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D20FA1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местные бюджеты*     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660,4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D20FA1">
        <w:trPr>
          <w:trHeight w:val="360"/>
          <w:tblCellSpacing w:w="5" w:type="nil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Итого на решение задачи 7 </w:t>
            </w:r>
            <w:r w:rsidRPr="00360105">
              <w:rPr>
                <w:rFonts w:ascii="Times New Roman" w:hAnsi="Times New Roman" w:cs="Times New Roman"/>
              </w:rPr>
              <w:lastRenderedPageBreak/>
              <w:t>цели 1</w:t>
            </w: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330 192,0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D20FA1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12 547,6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D20FA1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316 984,0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D20FA1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местные бюджеты*     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785D18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660,4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Сумма затрат по государственной программе</w:t>
            </w:r>
          </w:p>
          <w:p w:rsidR="00521E37" w:rsidRPr="00360105" w:rsidRDefault="00521E37" w:rsidP="00521E37">
            <w:pPr>
              <w:jc w:val="center"/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1</w:t>
            </w:r>
            <w:r w:rsidR="00785D18" w:rsidRPr="00360105">
              <w:rPr>
                <w:sz w:val="14"/>
                <w:szCs w:val="14"/>
              </w:rPr>
              <w:t> 124 749,9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jc w:val="center"/>
              <w:rPr>
                <w:sz w:val="14"/>
                <w:szCs w:val="14"/>
              </w:rPr>
            </w:pPr>
            <w:r w:rsidRPr="00360105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785D18" w:rsidRPr="00360105">
              <w:rPr>
                <w:rFonts w:ascii="Times New Roman" w:hAnsi="Times New Roman" w:cs="Times New Roman"/>
                <w:sz w:val="14"/>
                <w:szCs w:val="14"/>
              </w:rPr>
              <w:t> 124 749,9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5 932 166,3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7A2C4D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1 654 535,3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областной бюджет    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785D18" w:rsidRPr="00360105">
              <w:rPr>
                <w:rFonts w:ascii="Times New Roman" w:hAnsi="Times New Roman" w:cs="Times New Roman"/>
                <w:sz w:val="14"/>
                <w:szCs w:val="14"/>
              </w:rPr>
              <w:t>18 809,4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785D18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118 809,4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209 486,0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197 355,9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областной бюджет    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2D3E1A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48.0.02.</w:t>
            </w:r>
            <w:r w:rsidR="00521E37" w:rsidRPr="00360105">
              <w:rPr>
                <w:rFonts w:ascii="Times New Roman" w:hAnsi="Times New Roman" w:cs="Times New Roman"/>
                <w:sz w:val="14"/>
                <w:szCs w:val="14"/>
              </w:rPr>
              <w:t>70480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 xml:space="preserve">522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53 806,3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53 806,3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134 780,0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134 780,0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областной бюджет    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2D3E1A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48.0.03</w:t>
            </w:r>
            <w:r w:rsidR="00521E37" w:rsidRPr="00360105">
              <w:rPr>
                <w:rFonts w:ascii="Times New Roman" w:hAnsi="Times New Roman" w:cs="Times New Roman"/>
                <w:sz w:val="14"/>
                <w:szCs w:val="14"/>
              </w:rPr>
              <w:t>.70960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65 003,1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65 003,1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61 991,7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60 512,1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областной бюджет    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2D3E1A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48.0.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G</w:t>
            </w:r>
            <w:r w:rsidR="00521E37" w:rsidRPr="00360105">
              <w:rPr>
                <w:rFonts w:ascii="Times New Roman" w:hAnsi="Times New Roman" w:cs="Times New Roman"/>
                <w:sz w:val="14"/>
                <w:szCs w:val="14"/>
              </w:rPr>
              <w:t>2.52970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166,7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2 063,8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1F128F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областной бюджет     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06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2D3E1A" w:rsidRDefault="00521E37" w:rsidP="002D3E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 w:eastAsia="en-US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48.0.</w:t>
            </w:r>
            <w:r w:rsidR="002D3E1A">
              <w:rPr>
                <w:rFonts w:ascii="Times New Roman" w:hAnsi="Times New Roman" w:cs="Times New Roman"/>
                <w:sz w:val="14"/>
                <w:szCs w:val="14"/>
                <w:lang w:val="en-US" w:eastAsia="en-US"/>
              </w:rPr>
              <w:t>G1.52420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12 547,6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21E37" w:rsidRPr="00360105" w:rsidTr="00220D3D">
        <w:trPr>
          <w:trHeight w:val="49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320 984,0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49 531,1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37" w:rsidRPr="00360105" w:rsidRDefault="00521E37" w:rsidP="00521E3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33242" w:rsidRPr="00360105" w:rsidTr="00F33242">
        <w:trPr>
          <w:trHeight w:val="49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pStyle w:val="ConsPlusCell"/>
              <w:rPr>
                <w:rFonts w:ascii="Times New Roman" w:hAnsi="Times New Roman" w:cs="Times New Roman"/>
              </w:rPr>
            </w:pPr>
            <w:r w:rsidRPr="00F3324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06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48.0.G</w:t>
            </w: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2.52970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522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4 000,0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49 531,1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242" w:rsidRPr="00360105" w:rsidTr="00F33242">
        <w:trPr>
          <w:trHeight w:val="49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pStyle w:val="ConsPlusCell"/>
              <w:rPr>
                <w:rFonts w:ascii="Times New Roman" w:hAnsi="Times New Roman" w:cs="Times New Roman"/>
              </w:rPr>
            </w:pPr>
            <w:r w:rsidRPr="00F33242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06</w:t>
            </w:r>
          </w:p>
        </w:tc>
        <w:tc>
          <w:tcPr>
            <w:tcW w:w="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D3E1A">
              <w:rPr>
                <w:rFonts w:ascii="Times New Roman" w:hAnsi="Times New Roman" w:cs="Times New Roman"/>
                <w:sz w:val="14"/>
                <w:szCs w:val="14"/>
              </w:rPr>
              <w:t>48.0.G1.52420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522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316 984,0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3242" w:rsidRPr="00360105" w:rsidRDefault="00F33242" w:rsidP="00A831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3242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 xml:space="preserve">местные бюджеты*      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5 940,5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5 940,5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10 707,3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12 344,3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33242" w:rsidRPr="00360105" w:rsidTr="00220D3D">
        <w:trPr>
          <w:trHeight w:val="360"/>
          <w:tblCellSpacing w:w="5" w:type="nil"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rPr>
                <w:color w:val="00000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rPr>
                <w:rFonts w:ascii="Times New Roman" w:hAnsi="Times New Roman" w:cs="Times New Roman"/>
              </w:rPr>
            </w:pPr>
            <w:r w:rsidRPr="0036010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1 000 000,0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1 000 000,0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5 390 989,0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60105">
              <w:rPr>
                <w:rFonts w:ascii="Times New Roman" w:hAnsi="Times New Roman" w:cs="Times New Roman"/>
                <w:sz w:val="14"/>
                <w:szCs w:val="14"/>
              </w:rPr>
              <w:t>1 350 000,0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2" w:rsidRPr="00360105" w:rsidRDefault="00F33242" w:rsidP="00F3324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E62D8E" w:rsidRPr="00360105" w:rsidRDefault="00E62D8E" w:rsidP="005E55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5530" w:rsidRPr="00360105" w:rsidRDefault="005E5530" w:rsidP="005E55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Используемые сокращения:</w:t>
      </w:r>
    </w:p>
    <w:p w:rsidR="005E5530" w:rsidRPr="00360105" w:rsidRDefault="005E5530" w:rsidP="005E55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ГРОРО - Государственный реестр объектов размещения отходов;</w:t>
      </w:r>
    </w:p>
    <w:p w:rsidR="005E5530" w:rsidRPr="00360105" w:rsidRDefault="005E5530" w:rsidP="005E55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ДПРиООС НСО – департамент природных ресурсов и охраны окружающей среды Новосибирской области;</w:t>
      </w:r>
      <w:bookmarkStart w:id="0" w:name="_GoBack"/>
      <w:bookmarkEnd w:id="0"/>
    </w:p>
    <w:p w:rsidR="005E5530" w:rsidRPr="00360105" w:rsidRDefault="005E5530" w:rsidP="005E55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МЖКХ и Э НСО – министерство жилищно-коммунального хозяйства и энергетики Новосибирской области;</w:t>
      </w:r>
    </w:p>
    <w:p w:rsidR="005E5530" w:rsidRPr="00360105" w:rsidRDefault="005E5530" w:rsidP="005E55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МО НСО – муниципальные образования Новосибирской области;</w:t>
      </w:r>
    </w:p>
    <w:p w:rsidR="009D3676" w:rsidRPr="00360105" w:rsidRDefault="009D3676" w:rsidP="005E55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МПР НСО – министерство природных ресурсов и экологии Новосибирской области;</w:t>
      </w:r>
    </w:p>
    <w:p w:rsidR="005E5530" w:rsidRPr="00360105" w:rsidRDefault="005E5530" w:rsidP="005E5530">
      <w:pPr>
        <w:rPr>
          <w:sz w:val="28"/>
          <w:szCs w:val="28"/>
        </w:rPr>
      </w:pPr>
      <w:r w:rsidRPr="00360105">
        <w:rPr>
          <w:sz w:val="28"/>
          <w:szCs w:val="28"/>
        </w:rPr>
        <w:t>ОКК – орга</w:t>
      </w:r>
      <w:r w:rsidR="004412C5" w:rsidRPr="00360105">
        <w:rPr>
          <w:sz w:val="28"/>
          <w:szCs w:val="28"/>
        </w:rPr>
        <w:t>низации коммунального комплекса;</w:t>
      </w:r>
    </w:p>
    <w:p w:rsidR="00521E37" w:rsidRPr="00360105" w:rsidRDefault="00521E37" w:rsidP="005E5530">
      <w:pPr>
        <w:rPr>
          <w:sz w:val="28"/>
          <w:szCs w:val="28"/>
        </w:rPr>
      </w:pPr>
      <w:r w:rsidRPr="00360105">
        <w:rPr>
          <w:sz w:val="28"/>
          <w:szCs w:val="28"/>
        </w:rPr>
        <w:t>ОРО – объект размещения отходов;</w:t>
      </w:r>
    </w:p>
    <w:p w:rsidR="004412C5" w:rsidRPr="00360105" w:rsidRDefault="004412C5" w:rsidP="005E5530">
      <w:pPr>
        <w:rPr>
          <w:sz w:val="28"/>
          <w:szCs w:val="28"/>
        </w:rPr>
      </w:pPr>
      <w:r w:rsidRPr="00360105">
        <w:rPr>
          <w:sz w:val="28"/>
          <w:szCs w:val="28"/>
        </w:rPr>
        <w:lastRenderedPageBreak/>
        <w:t xml:space="preserve">ООО «Экология-Новосибирск» </w:t>
      </w:r>
      <w:r w:rsidRPr="00360105">
        <w:rPr>
          <w:sz w:val="28"/>
          <w:szCs w:val="28"/>
        </w:rPr>
        <w:noBreakHyphen/>
        <w:t xml:space="preserve"> региональный оператор по обращению с ТКО на территории Новосибирской о</w:t>
      </w:r>
      <w:r w:rsidR="00521E37" w:rsidRPr="00360105">
        <w:rPr>
          <w:sz w:val="28"/>
          <w:szCs w:val="28"/>
        </w:rPr>
        <w:t>б</w:t>
      </w:r>
      <w:r w:rsidRPr="00360105">
        <w:rPr>
          <w:sz w:val="28"/>
          <w:szCs w:val="28"/>
        </w:rPr>
        <w:t>ласти.</w:t>
      </w:r>
    </w:p>
    <w:p w:rsidR="0005444E" w:rsidRPr="00360105" w:rsidRDefault="005E5530" w:rsidP="005E5530">
      <w:pPr>
        <w:rPr>
          <w:sz w:val="28"/>
          <w:szCs w:val="28"/>
        </w:rPr>
      </w:pPr>
      <w:r w:rsidRPr="00360105">
        <w:rPr>
          <w:sz w:val="28"/>
          <w:szCs w:val="28"/>
          <w:vertAlign w:val="superscript"/>
        </w:rPr>
        <w:t>*</w:t>
      </w:r>
      <w:r w:rsidRPr="00360105">
        <w:rPr>
          <w:sz w:val="28"/>
          <w:szCs w:val="28"/>
        </w:rPr>
        <w:t>– указаны прогнозные объемы финансирования за счет средств местных бюджетов.</w:t>
      </w:r>
    </w:p>
    <w:p w:rsidR="00605254" w:rsidRPr="00360105" w:rsidRDefault="005E5530" w:rsidP="003B1828">
      <w:pPr>
        <w:pStyle w:val="ConsPlusNormal"/>
        <w:ind w:left="1062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B1828" w:rsidRPr="0036010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B34FC0" w:rsidRPr="00DD20B6" w:rsidRDefault="0005444E" w:rsidP="00DD20B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0105">
        <w:rPr>
          <w:rFonts w:ascii="Times New Roman" w:hAnsi="Times New Roman" w:cs="Times New Roman"/>
          <w:sz w:val="28"/>
          <w:szCs w:val="28"/>
        </w:rPr>
        <w:t>_________</w:t>
      </w:r>
    </w:p>
    <w:sectPr w:rsidR="00B34FC0" w:rsidRPr="00DD20B6" w:rsidSect="00054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4DE" w:rsidRDefault="00B524DE" w:rsidP="00CA3917">
      <w:r>
        <w:separator/>
      </w:r>
    </w:p>
  </w:endnote>
  <w:endnote w:type="continuationSeparator" w:id="0">
    <w:p w:rsidR="00B524DE" w:rsidRDefault="00B524DE" w:rsidP="00CA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0B4" w:rsidRDefault="00B320B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0B4" w:rsidRDefault="00B320B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0B4" w:rsidRDefault="00B320B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4DE" w:rsidRDefault="00B524DE" w:rsidP="00CA3917">
      <w:r>
        <w:separator/>
      </w:r>
    </w:p>
  </w:footnote>
  <w:footnote w:type="continuationSeparator" w:id="0">
    <w:p w:rsidR="00B524DE" w:rsidRDefault="00B524DE" w:rsidP="00CA3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0B4" w:rsidRDefault="00B320B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8645417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B320B4" w:rsidRPr="00CA3917" w:rsidRDefault="00B320B4">
        <w:pPr>
          <w:pStyle w:val="a9"/>
          <w:jc w:val="center"/>
          <w:rPr>
            <w:rFonts w:ascii="Times New Roman" w:hAnsi="Times New Roman"/>
            <w:sz w:val="20"/>
            <w:szCs w:val="20"/>
          </w:rPr>
        </w:pPr>
        <w:r w:rsidRPr="00CA3917">
          <w:rPr>
            <w:rFonts w:ascii="Times New Roman" w:hAnsi="Times New Roman"/>
            <w:sz w:val="20"/>
            <w:szCs w:val="20"/>
          </w:rPr>
          <w:fldChar w:fldCharType="begin"/>
        </w:r>
        <w:r w:rsidRPr="00CA3917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CA3917">
          <w:rPr>
            <w:rFonts w:ascii="Times New Roman" w:hAnsi="Times New Roman"/>
            <w:sz w:val="20"/>
            <w:szCs w:val="20"/>
          </w:rPr>
          <w:fldChar w:fldCharType="separate"/>
        </w:r>
        <w:r w:rsidR="00A83165">
          <w:rPr>
            <w:rFonts w:ascii="Times New Roman" w:hAnsi="Times New Roman"/>
            <w:noProof/>
            <w:sz w:val="20"/>
            <w:szCs w:val="20"/>
          </w:rPr>
          <w:t>28</w:t>
        </w:r>
        <w:r w:rsidRPr="00CA3917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B320B4" w:rsidRDefault="00B320B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0B4" w:rsidRDefault="00B320B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10D6078D"/>
    <w:multiLevelType w:val="hybridMultilevel"/>
    <w:tmpl w:val="603C4588"/>
    <w:lvl w:ilvl="0" w:tplc="DF08C1E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C09B0"/>
    <w:multiLevelType w:val="hybridMultilevel"/>
    <w:tmpl w:val="250C8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1" w15:restartNumberingAfterBreak="0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4648B"/>
    <w:multiLevelType w:val="hybridMultilevel"/>
    <w:tmpl w:val="31D890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D001A"/>
    <w:multiLevelType w:val="hybridMultilevel"/>
    <w:tmpl w:val="41A25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C6987"/>
    <w:multiLevelType w:val="multilevel"/>
    <w:tmpl w:val="75D63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76DC1A9C"/>
    <w:multiLevelType w:val="hybridMultilevel"/>
    <w:tmpl w:val="876001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0"/>
  </w:num>
  <w:num w:numId="4">
    <w:abstractNumId w:val="13"/>
  </w:num>
  <w:num w:numId="5">
    <w:abstractNumId w:val="6"/>
  </w:num>
  <w:num w:numId="6">
    <w:abstractNumId w:val="8"/>
  </w:num>
  <w:num w:numId="7">
    <w:abstractNumId w:val="17"/>
  </w:num>
  <w:num w:numId="8">
    <w:abstractNumId w:val="19"/>
  </w:num>
  <w:num w:numId="9">
    <w:abstractNumId w:val="0"/>
  </w:num>
  <w:num w:numId="10">
    <w:abstractNumId w:val="11"/>
  </w:num>
  <w:num w:numId="11">
    <w:abstractNumId w:val="9"/>
  </w:num>
  <w:num w:numId="12">
    <w:abstractNumId w:val="5"/>
  </w:num>
  <w:num w:numId="13">
    <w:abstractNumId w:val="12"/>
  </w:num>
  <w:num w:numId="14">
    <w:abstractNumId w:val="3"/>
  </w:num>
  <w:num w:numId="15">
    <w:abstractNumId w:val="7"/>
  </w:num>
  <w:num w:numId="16">
    <w:abstractNumId w:val="14"/>
  </w:num>
  <w:num w:numId="17">
    <w:abstractNumId w:val="16"/>
  </w:num>
  <w:num w:numId="18">
    <w:abstractNumId w:val="18"/>
  </w:num>
  <w:num w:numId="19">
    <w:abstractNumId w:val="20"/>
  </w:num>
  <w:num w:numId="20">
    <w:abstractNumId w:val="15"/>
  </w:num>
  <w:num w:numId="21">
    <w:abstractNumId w:val="22"/>
  </w:num>
  <w:num w:numId="22">
    <w:abstractNumId w:val="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93"/>
    <w:rsid w:val="000019EB"/>
    <w:rsid w:val="00001C8F"/>
    <w:rsid w:val="00001ED1"/>
    <w:rsid w:val="00002D10"/>
    <w:rsid w:val="00010971"/>
    <w:rsid w:val="0001335C"/>
    <w:rsid w:val="0001522F"/>
    <w:rsid w:val="00015802"/>
    <w:rsid w:val="00026BF8"/>
    <w:rsid w:val="00031FD2"/>
    <w:rsid w:val="000322B3"/>
    <w:rsid w:val="00033C85"/>
    <w:rsid w:val="00041D98"/>
    <w:rsid w:val="0004231E"/>
    <w:rsid w:val="00044588"/>
    <w:rsid w:val="0004498C"/>
    <w:rsid w:val="00045AF8"/>
    <w:rsid w:val="00047E86"/>
    <w:rsid w:val="0005011F"/>
    <w:rsid w:val="000503CF"/>
    <w:rsid w:val="00052B9E"/>
    <w:rsid w:val="00053CE2"/>
    <w:rsid w:val="00054084"/>
    <w:rsid w:val="0005444E"/>
    <w:rsid w:val="00054BAD"/>
    <w:rsid w:val="000555F6"/>
    <w:rsid w:val="00055745"/>
    <w:rsid w:val="0005581F"/>
    <w:rsid w:val="00056A5C"/>
    <w:rsid w:val="0005757F"/>
    <w:rsid w:val="00060505"/>
    <w:rsid w:val="00063556"/>
    <w:rsid w:val="0006725E"/>
    <w:rsid w:val="000677C5"/>
    <w:rsid w:val="0007006A"/>
    <w:rsid w:val="0007435B"/>
    <w:rsid w:val="000750BF"/>
    <w:rsid w:val="0007630A"/>
    <w:rsid w:val="00081562"/>
    <w:rsid w:val="00084036"/>
    <w:rsid w:val="00084BD7"/>
    <w:rsid w:val="000857F1"/>
    <w:rsid w:val="000861E0"/>
    <w:rsid w:val="000865F1"/>
    <w:rsid w:val="000915F1"/>
    <w:rsid w:val="00091FF3"/>
    <w:rsid w:val="0009451E"/>
    <w:rsid w:val="00096811"/>
    <w:rsid w:val="000A3CC4"/>
    <w:rsid w:val="000A3D88"/>
    <w:rsid w:val="000A4F21"/>
    <w:rsid w:val="000B1B18"/>
    <w:rsid w:val="000B4ACF"/>
    <w:rsid w:val="000B5200"/>
    <w:rsid w:val="000B560D"/>
    <w:rsid w:val="000B66F8"/>
    <w:rsid w:val="000C199B"/>
    <w:rsid w:val="000C389A"/>
    <w:rsid w:val="000C3ACF"/>
    <w:rsid w:val="000C45A4"/>
    <w:rsid w:val="000D0906"/>
    <w:rsid w:val="000D134A"/>
    <w:rsid w:val="000D27AC"/>
    <w:rsid w:val="000D3B96"/>
    <w:rsid w:val="000D58BB"/>
    <w:rsid w:val="000D7953"/>
    <w:rsid w:val="000E13BC"/>
    <w:rsid w:val="000E3EF9"/>
    <w:rsid w:val="000E5609"/>
    <w:rsid w:val="000E674E"/>
    <w:rsid w:val="000F4D45"/>
    <w:rsid w:val="000F5C6A"/>
    <w:rsid w:val="000F6E3B"/>
    <w:rsid w:val="00101014"/>
    <w:rsid w:val="001054EB"/>
    <w:rsid w:val="00111149"/>
    <w:rsid w:val="001114DA"/>
    <w:rsid w:val="001116D9"/>
    <w:rsid w:val="001120E8"/>
    <w:rsid w:val="00113B01"/>
    <w:rsid w:val="00121595"/>
    <w:rsid w:val="001219A9"/>
    <w:rsid w:val="00123DBD"/>
    <w:rsid w:val="0012469E"/>
    <w:rsid w:val="00130B18"/>
    <w:rsid w:val="001337C7"/>
    <w:rsid w:val="00140790"/>
    <w:rsid w:val="00140C98"/>
    <w:rsid w:val="00140ECE"/>
    <w:rsid w:val="00144C8B"/>
    <w:rsid w:val="00147B31"/>
    <w:rsid w:val="00147CDD"/>
    <w:rsid w:val="00150BF7"/>
    <w:rsid w:val="001534E8"/>
    <w:rsid w:val="001554EA"/>
    <w:rsid w:val="00155560"/>
    <w:rsid w:val="001570B6"/>
    <w:rsid w:val="00157603"/>
    <w:rsid w:val="00163F21"/>
    <w:rsid w:val="001672BC"/>
    <w:rsid w:val="00167D20"/>
    <w:rsid w:val="00171779"/>
    <w:rsid w:val="00171992"/>
    <w:rsid w:val="00172B60"/>
    <w:rsid w:val="00175B1F"/>
    <w:rsid w:val="00177F6E"/>
    <w:rsid w:val="00181A11"/>
    <w:rsid w:val="0018424F"/>
    <w:rsid w:val="001844BC"/>
    <w:rsid w:val="00191F07"/>
    <w:rsid w:val="00194DA7"/>
    <w:rsid w:val="001C1A62"/>
    <w:rsid w:val="001C5A3C"/>
    <w:rsid w:val="001D24E4"/>
    <w:rsid w:val="001D2505"/>
    <w:rsid w:val="001D3886"/>
    <w:rsid w:val="001D4D99"/>
    <w:rsid w:val="001D589E"/>
    <w:rsid w:val="001D5B5D"/>
    <w:rsid w:val="001E0D31"/>
    <w:rsid w:val="001E0F19"/>
    <w:rsid w:val="001E5230"/>
    <w:rsid w:val="001F128F"/>
    <w:rsid w:val="001F2545"/>
    <w:rsid w:val="001F2743"/>
    <w:rsid w:val="001F569F"/>
    <w:rsid w:val="001F6C4D"/>
    <w:rsid w:val="001F73EE"/>
    <w:rsid w:val="001F78A1"/>
    <w:rsid w:val="0020048D"/>
    <w:rsid w:val="00201E3D"/>
    <w:rsid w:val="0020281F"/>
    <w:rsid w:val="00204B4F"/>
    <w:rsid w:val="00205F0D"/>
    <w:rsid w:val="00210D23"/>
    <w:rsid w:val="0021233D"/>
    <w:rsid w:val="00212D66"/>
    <w:rsid w:val="002150E2"/>
    <w:rsid w:val="00215AEA"/>
    <w:rsid w:val="0021635D"/>
    <w:rsid w:val="00217DA3"/>
    <w:rsid w:val="00220D3D"/>
    <w:rsid w:val="002221FF"/>
    <w:rsid w:val="00224339"/>
    <w:rsid w:val="002259CE"/>
    <w:rsid w:val="002310FB"/>
    <w:rsid w:val="002312E6"/>
    <w:rsid w:val="002370C0"/>
    <w:rsid w:val="00237D86"/>
    <w:rsid w:val="00246372"/>
    <w:rsid w:val="00247D29"/>
    <w:rsid w:val="00250132"/>
    <w:rsid w:val="002554B2"/>
    <w:rsid w:val="00257E02"/>
    <w:rsid w:val="0026406B"/>
    <w:rsid w:val="00264FD5"/>
    <w:rsid w:val="00266F4E"/>
    <w:rsid w:val="00270250"/>
    <w:rsid w:val="00272A4A"/>
    <w:rsid w:val="00274B1E"/>
    <w:rsid w:val="002812FE"/>
    <w:rsid w:val="00284B94"/>
    <w:rsid w:val="00285B09"/>
    <w:rsid w:val="002916E5"/>
    <w:rsid w:val="002951EE"/>
    <w:rsid w:val="002A0CAA"/>
    <w:rsid w:val="002A1C3C"/>
    <w:rsid w:val="002A2346"/>
    <w:rsid w:val="002A3FA0"/>
    <w:rsid w:val="002A4ACF"/>
    <w:rsid w:val="002A77A9"/>
    <w:rsid w:val="002A7CB9"/>
    <w:rsid w:val="002B1213"/>
    <w:rsid w:val="002B2203"/>
    <w:rsid w:val="002B5300"/>
    <w:rsid w:val="002B544E"/>
    <w:rsid w:val="002B5A2C"/>
    <w:rsid w:val="002C12DE"/>
    <w:rsid w:val="002C263B"/>
    <w:rsid w:val="002C3F6A"/>
    <w:rsid w:val="002D3E1A"/>
    <w:rsid w:val="002D4C58"/>
    <w:rsid w:val="002D4D2F"/>
    <w:rsid w:val="002E21CF"/>
    <w:rsid w:val="002E282F"/>
    <w:rsid w:val="002E4BDF"/>
    <w:rsid w:val="002E6C41"/>
    <w:rsid w:val="002F0512"/>
    <w:rsid w:val="002F0ED0"/>
    <w:rsid w:val="002F5B77"/>
    <w:rsid w:val="002F6628"/>
    <w:rsid w:val="002F758A"/>
    <w:rsid w:val="0030105A"/>
    <w:rsid w:val="003027DA"/>
    <w:rsid w:val="00302B36"/>
    <w:rsid w:val="00302EBF"/>
    <w:rsid w:val="00306527"/>
    <w:rsid w:val="00306D35"/>
    <w:rsid w:val="00310AF4"/>
    <w:rsid w:val="00317DBF"/>
    <w:rsid w:val="00321FDD"/>
    <w:rsid w:val="003231D5"/>
    <w:rsid w:val="00324262"/>
    <w:rsid w:val="00331609"/>
    <w:rsid w:val="00331DB7"/>
    <w:rsid w:val="0033411C"/>
    <w:rsid w:val="00335BF1"/>
    <w:rsid w:val="00340B40"/>
    <w:rsid w:val="003417CD"/>
    <w:rsid w:val="0034261C"/>
    <w:rsid w:val="00344461"/>
    <w:rsid w:val="0035086F"/>
    <w:rsid w:val="003517FC"/>
    <w:rsid w:val="00351FCC"/>
    <w:rsid w:val="00352884"/>
    <w:rsid w:val="0035290E"/>
    <w:rsid w:val="00360105"/>
    <w:rsid w:val="00361530"/>
    <w:rsid w:val="00362002"/>
    <w:rsid w:val="00363B21"/>
    <w:rsid w:val="00365D00"/>
    <w:rsid w:val="00366680"/>
    <w:rsid w:val="0036785D"/>
    <w:rsid w:val="00370A13"/>
    <w:rsid w:val="0037116F"/>
    <w:rsid w:val="003726E1"/>
    <w:rsid w:val="00372865"/>
    <w:rsid w:val="00373DCA"/>
    <w:rsid w:val="003754CF"/>
    <w:rsid w:val="00383980"/>
    <w:rsid w:val="0038597A"/>
    <w:rsid w:val="00387539"/>
    <w:rsid w:val="00393FC1"/>
    <w:rsid w:val="003977C7"/>
    <w:rsid w:val="003A2AEA"/>
    <w:rsid w:val="003A4E2B"/>
    <w:rsid w:val="003B04C7"/>
    <w:rsid w:val="003B1828"/>
    <w:rsid w:val="003B29BF"/>
    <w:rsid w:val="003C3467"/>
    <w:rsid w:val="003C5D24"/>
    <w:rsid w:val="003D0217"/>
    <w:rsid w:val="003D2211"/>
    <w:rsid w:val="003D36EC"/>
    <w:rsid w:val="003D3766"/>
    <w:rsid w:val="003D401B"/>
    <w:rsid w:val="003D6D3A"/>
    <w:rsid w:val="003D70FC"/>
    <w:rsid w:val="003D7B41"/>
    <w:rsid w:val="003E032A"/>
    <w:rsid w:val="003E0C69"/>
    <w:rsid w:val="003E3031"/>
    <w:rsid w:val="003E57D6"/>
    <w:rsid w:val="003E776F"/>
    <w:rsid w:val="003E7F78"/>
    <w:rsid w:val="003F0166"/>
    <w:rsid w:val="003F1179"/>
    <w:rsid w:val="00401033"/>
    <w:rsid w:val="00406D6C"/>
    <w:rsid w:val="004171F2"/>
    <w:rsid w:val="00422C75"/>
    <w:rsid w:val="00423398"/>
    <w:rsid w:val="0042373B"/>
    <w:rsid w:val="004244FD"/>
    <w:rsid w:val="0042637B"/>
    <w:rsid w:val="00430F27"/>
    <w:rsid w:val="004329DB"/>
    <w:rsid w:val="00435BDE"/>
    <w:rsid w:val="00440E53"/>
    <w:rsid w:val="004412C5"/>
    <w:rsid w:val="004418E1"/>
    <w:rsid w:val="00441A8E"/>
    <w:rsid w:val="004425D0"/>
    <w:rsid w:val="00442F0F"/>
    <w:rsid w:val="0044395E"/>
    <w:rsid w:val="004502C4"/>
    <w:rsid w:val="004527F8"/>
    <w:rsid w:val="00453A08"/>
    <w:rsid w:val="00455540"/>
    <w:rsid w:val="00456CA4"/>
    <w:rsid w:val="004610B7"/>
    <w:rsid w:val="00461F6F"/>
    <w:rsid w:val="00462027"/>
    <w:rsid w:val="00462062"/>
    <w:rsid w:val="0046217F"/>
    <w:rsid w:val="00463401"/>
    <w:rsid w:val="00463A31"/>
    <w:rsid w:val="00464CAD"/>
    <w:rsid w:val="00470820"/>
    <w:rsid w:val="00470A1C"/>
    <w:rsid w:val="00472468"/>
    <w:rsid w:val="0047424D"/>
    <w:rsid w:val="00475C52"/>
    <w:rsid w:val="00480F07"/>
    <w:rsid w:val="004816DA"/>
    <w:rsid w:val="004823BD"/>
    <w:rsid w:val="00485E74"/>
    <w:rsid w:val="00486F26"/>
    <w:rsid w:val="00490F98"/>
    <w:rsid w:val="00491A97"/>
    <w:rsid w:val="00491AD6"/>
    <w:rsid w:val="00492041"/>
    <w:rsid w:val="00492310"/>
    <w:rsid w:val="004924F0"/>
    <w:rsid w:val="00493AF8"/>
    <w:rsid w:val="00494E66"/>
    <w:rsid w:val="00495209"/>
    <w:rsid w:val="00495B19"/>
    <w:rsid w:val="00495B30"/>
    <w:rsid w:val="00495F82"/>
    <w:rsid w:val="004967CB"/>
    <w:rsid w:val="0049799C"/>
    <w:rsid w:val="004A3E6D"/>
    <w:rsid w:val="004B157C"/>
    <w:rsid w:val="004B2C9D"/>
    <w:rsid w:val="004B4E39"/>
    <w:rsid w:val="004B6760"/>
    <w:rsid w:val="004C0EBF"/>
    <w:rsid w:val="004C1094"/>
    <w:rsid w:val="004C2CA9"/>
    <w:rsid w:val="004C37D2"/>
    <w:rsid w:val="004C57E4"/>
    <w:rsid w:val="004C60A8"/>
    <w:rsid w:val="004D11EB"/>
    <w:rsid w:val="004D177C"/>
    <w:rsid w:val="004D37FD"/>
    <w:rsid w:val="004E04F9"/>
    <w:rsid w:val="004E0683"/>
    <w:rsid w:val="004E3553"/>
    <w:rsid w:val="004E6DD8"/>
    <w:rsid w:val="004E7E1B"/>
    <w:rsid w:val="005015DB"/>
    <w:rsid w:val="00501A7E"/>
    <w:rsid w:val="005044E7"/>
    <w:rsid w:val="00505F95"/>
    <w:rsid w:val="00511337"/>
    <w:rsid w:val="00515FFA"/>
    <w:rsid w:val="00521659"/>
    <w:rsid w:val="00521E37"/>
    <w:rsid w:val="005252D1"/>
    <w:rsid w:val="00525626"/>
    <w:rsid w:val="00525DF8"/>
    <w:rsid w:val="005261AD"/>
    <w:rsid w:val="00530289"/>
    <w:rsid w:val="00531440"/>
    <w:rsid w:val="00532E66"/>
    <w:rsid w:val="00533A39"/>
    <w:rsid w:val="00537815"/>
    <w:rsid w:val="00540D5A"/>
    <w:rsid w:val="005416C9"/>
    <w:rsid w:val="005448FF"/>
    <w:rsid w:val="00545A90"/>
    <w:rsid w:val="00547654"/>
    <w:rsid w:val="005510F5"/>
    <w:rsid w:val="005525DF"/>
    <w:rsid w:val="005530C9"/>
    <w:rsid w:val="00554B63"/>
    <w:rsid w:val="00554E19"/>
    <w:rsid w:val="0055528F"/>
    <w:rsid w:val="00555A62"/>
    <w:rsid w:val="00555AD1"/>
    <w:rsid w:val="00560263"/>
    <w:rsid w:val="00560A61"/>
    <w:rsid w:val="005638CF"/>
    <w:rsid w:val="005644ED"/>
    <w:rsid w:val="00566073"/>
    <w:rsid w:val="00567088"/>
    <w:rsid w:val="005706FF"/>
    <w:rsid w:val="005740A3"/>
    <w:rsid w:val="005758B4"/>
    <w:rsid w:val="00577285"/>
    <w:rsid w:val="00582E2A"/>
    <w:rsid w:val="0058335B"/>
    <w:rsid w:val="00583C8B"/>
    <w:rsid w:val="005847BD"/>
    <w:rsid w:val="00590B22"/>
    <w:rsid w:val="00593D7C"/>
    <w:rsid w:val="005A0E1C"/>
    <w:rsid w:val="005A59F4"/>
    <w:rsid w:val="005A7568"/>
    <w:rsid w:val="005A7600"/>
    <w:rsid w:val="005A78CD"/>
    <w:rsid w:val="005B033A"/>
    <w:rsid w:val="005B0EE2"/>
    <w:rsid w:val="005B34D8"/>
    <w:rsid w:val="005B4830"/>
    <w:rsid w:val="005B5CE3"/>
    <w:rsid w:val="005C20E4"/>
    <w:rsid w:val="005C37FB"/>
    <w:rsid w:val="005C39CE"/>
    <w:rsid w:val="005C4098"/>
    <w:rsid w:val="005C4E67"/>
    <w:rsid w:val="005D01EE"/>
    <w:rsid w:val="005D160F"/>
    <w:rsid w:val="005D2A15"/>
    <w:rsid w:val="005D537E"/>
    <w:rsid w:val="005D5BCE"/>
    <w:rsid w:val="005D7B20"/>
    <w:rsid w:val="005E0670"/>
    <w:rsid w:val="005E0C12"/>
    <w:rsid w:val="005E13FD"/>
    <w:rsid w:val="005E28CA"/>
    <w:rsid w:val="005E5530"/>
    <w:rsid w:val="005E5CF7"/>
    <w:rsid w:val="005E6BE0"/>
    <w:rsid w:val="005F46E2"/>
    <w:rsid w:val="005F7092"/>
    <w:rsid w:val="00604EA0"/>
    <w:rsid w:val="00605254"/>
    <w:rsid w:val="0061462E"/>
    <w:rsid w:val="006162ED"/>
    <w:rsid w:val="00622417"/>
    <w:rsid w:val="00622C5A"/>
    <w:rsid w:val="00624EC1"/>
    <w:rsid w:val="00626B4C"/>
    <w:rsid w:val="006355EB"/>
    <w:rsid w:val="00636913"/>
    <w:rsid w:val="0063775E"/>
    <w:rsid w:val="006438BD"/>
    <w:rsid w:val="00650AAA"/>
    <w:rsid w:val="0065487B"/>
    <w:rsid w:val="006637C0"/>
    <w:rsid w:val="00663E9B"/>
    <w:rsid w:val="0067086B"/>
    <w:rsid w:val="006735BE"/>
    <w:rsid w:val="00673656"/>
    <w:rsid w:val="00675D78"/>
    <w:rsid w:val="00681589"/>
    <w:rsid w:val="006817AC"/>
    <w:rsid w:val="00682260"/>
    <w:rsid w:val="006835B6"/>
    <w:rsid w:val="006841E7"/>
    <w:rsid w:val="00686735"/>
    <w:rsid w:val="0068737A"/>
    <w:rsid w:val="00690502"/>
    <w:rsid w:val="00691157"/>
    <w:rsid w:val="00691744"/>
    <w:rsid w:val="006926C4"/>
    <w:rsid w:val="006954BA"/>
    <w:rsid w:val="006964F3"/>
    <w:rsid w:val="006974FB"/>
    <w:rsid w:val="006A2FB2"/>
    <w:rsid w:val="006B0C36"/>
    <w:rsid w:val="006B49AE"/>
    <w:rsid w:val="006B5899"/>
    <w:rsid w:val="006B6157"/>
    <w:rsid w:val="006B7FBA"/>
    <w:rsid w:val="006C0F19"/>
    <w:rsid w:val="006C20A6"/>
    <w:rsid w:val="006C3334"/>
    <w:rsid w:val="006C4AFD"/>
    <w:rsid w:val="006C57D0"/>
    <w:rsid w:val="006D0C6E"/>
    <w:rsid w:val="006D0F1C"/>
    <w:rsid w:val="006E30FE"/>
    <w:rsid w:val="006E49AA"/>
    <w:rsid w:val="006F5B24"/>
    <w:rsid w:val="006F6B11"/>
    <w:rsid w:val="007010BC"/>
    <w:rsid w:val="0070127A"/>
    <w:rsid w:val="0070246D"/>
    <w:rsid w:val="0070328C"/>
    <w:rsid w:val="00706173"/>
    <w:rsid w:val="007075F7"/>
    <w:rsid w:val="00712765"/>
    <w:rsid w:val="0071307E"/>
    <w:rsid w:val="007143C5"/>
    <w:rsid w:val="00716542"/>
    <w:rsid w:val="0072094F"/>
    <w:rsid w:val="0072154F"/>
    <w:rsid w:val="00722917"/>
    <w:rsid w:val="0072562E"/>
    <w:rsid w:val="00725E2D"/>
    <w:rsid w:val="007263D5"/>
    <w:rsid w:val="00726862"/>
    <w:rsid w:val="007269B9"/>
    <w:rsid w:val="00731BCA"/>
    <w:rsid w:val="00733FFB"/>
    <w:rsid w:val="00737035"/>
    <w:rsid w:val="007418DC"/>
    <w:rsid w:val="0074287F"/>
    <w:rsid w:val="0074382B"/>
    <w:rsid w:val="00750D87"/>
    <w:rsid w:val="007511AF"/>
    <w:rsid w:val="007539C4"/>
    <w:rsid w:val="007559FB"/>
    <w:rsid w:val="00755BAA"/>
    <w:rsid w:val="0075654C"/>
    <w:rsid w:val="00757BA6"/>
    <w:rsid w:val="0076198F"/>
    <w:rsid w:val="00764DF3"/>
    <w:rsid w:val="00765BC7"/>
    <w:rsid w:val="007663E6"/>
    <w:rsid w:val="00771CCD"/>
    <w:rsid w:val="0077262C"/>
    <w:rsid w:val="00774CBB"/>
    <w:rsid w:val="00777415"/>
    <w:rsid w:val="00780A32"/>
    <w:rsid w:val="00783C89"/>
    <w:rsid w:val="00785D18"/>
    <w:rsid w:val="007878EC"/>
    <w:rsid w:val="007903C9"/>
    <w:rsid w:val="00792556"/>
    <w:rsid w:val="007953FC"/>
    <w:rsid w:val="00795754"/>
    <w:rsid w:val="00797F15"/>
    <w:rsid w:val="007A14C9"/>
    <w:rsid w:val="007A25EF"/>
    <w:rsid w:val="007A2C4D"/>
    <w:rsid w:val="007A404E"/>
    <w:rsid w:val="007B3BB9"/>
    <w:rsid w:val="007B3EF2"/>
    <w:rsid w:val="007B575A"/>
    <w:rsid w:val="007C25C6"/>
    <w:rsid w:val="007D0139"/>
    <w:rsid w:val="007D2618"/>
    <w:rsid w:val="007D329C"/>
    <w:rsid w:val="007D6B7B"/>
    <w:rsid w:val="007D7717"/>
    <w:rsid w:val="007E08CD"/>
    <w:rsid w:val="007E0D61"/>
    <w:rsid w:val="007E59A5"/>
    <w:rsid w:val="007E6708"/>
    <w:rsid w:val="007E6B32"/>
    <w:rsid w:val="007F3C44"/>
    <w:rsid w:val="007F4F29"/>
    <w:rsid w:val="007F5C19"/>
    <w:rsid w:val="007F706A"/>
    <w:rsid w:val="00803E2A"/>
    <w:rsid w:val="0080615F"/>
    <w:rsid w:val="00811A9B"/>
    <w:rsid w:val="00813A31"/>
    <w:rsid w:val="00813BAE"/>
    <w:rsid w:val="00814F08"/>
    <w:rsid w:val="00816881"/>
    <w:rsid w:val="008174C6"/>
    <w:rsid w:val="0082074D"/>
    <w:rsid w:val="008247A0"/>
    <w:rsid w:val="00827485"/>
    <w:rsid w:val="00830BC7"/>
    <w:rsid w:val="00831DB8"/>
    <w:rsid w:val="008323CD"/>
    <w:rsid w:val="0083526E"/>
    <w:rsid w:val="008368CD"/>
    <w:rsid w:val="00842693"/>
    <w:rsid w:val="00846178"/>
    <w:rsid w:val="00850856"/>
    <w:rsid w:val="00851CA0"/>
    <w:rsid w:val="00852767"/>
    <w:rsid w:val="00854662"/>
    <w:rsid w:val="0085603D"/>
    <w:rsid w:val="00856651"/>
    <w:rsid w:val="00862C40"/>
    <w:rsid w:val="008657C1"/>
    <w:rsid w:val="00867ADB"/>
    <w:rsid w:val="0087371B"/>
    <w:rsid w:val="008754F7"/>
    <w:rsid w:val="00876408"/>
    <w:rsid w:val="0087743E"/>
    <w:rsid w:val="008778B4"/>
    <w:rsid w:val="0088043B"/>
    <w:rsid w:val="00881791"/>
    <w:rsid w:val="0088237E"/>
    <w:rsid w:val="00883644"/>
    <w:rsid w:val="00885D3D"/>
    <w:rsid w:val="00886899"/>
    <w:rsid w:val="00890B7F"/>
    <w:rsid w:val="00893323"/>
    <w:rsid w:val="00893FFE"/>
    <w:rsid w:val="0089574E"/>
    <w:rsid w:val="00896DE2"/>
    <w:rsid w:val="008A100D"/>
    <w:rsid w:val="008A1A8B"/>
    <w:rsid w:val="008A3B8B"/>
    <w:rsid w:val="008A3FD1"/>
    <w:rsid w:val="008A65E9"/>
    <w:rsid w:val="008A7C5C"/>
    <w:rsid w:val="008B00D4"/>
    <w:rsid w:val="008B1B2E"/>
    <w:rsid w:val="008B3E2B"/>
    <w:rsid w:val="008B583E"/>
    <w:rsid w:val="008B6068"/>
    <w:rsid w:val="008B7FBC"/>
    <w:rsid w:val="008C1766"/>
    <w:rsid w:val="008C19F5"/>
    <w:rsid w:val="008C2337"/>
    <w:rsid w:val="008C5952"/>
    <w:rsid w:val="008C7433"/>
    <w:rsid w:val="008D08AF"/>
    <w:rsid w:val="008D4156"/>
    <w:rsid w:val="008D7165"/>
    <w:rsid w:val="008E73EC"/>
    <w:rsid w:val="008F0510"/>
    <w:rsid w:val="00900D5C"/>
    <w:rsid w:val="00901BCB"/>
    <w:rsid w:val="00905BBD"/>
    <w:rsid w:val="00907EA0"/>
    <w:rsid w:val="00911FA5"/>
    <w:rsid w:val="00912B22"/>
    <w:rsid w:val="009160BB"/>
    <w:rsid w:val="00916C3D"/>
    <w:rsid w:val="0091748A"/>
    <w:rsid w:val="0092029C"/>
    <w:rsid w:val="00921F0D"/>
    <w:rsid w:val="009220AD"/>
    <w:rsid w:val="00923A13"/>
    <w:rsid w:val="00923AB2"/>
    <w:rsid w:val="009242DF"/>
    <w:rsid w:val="009245EF"/>
    <w:rsid w:val="009254D5"/>
    <w:rsid w:val="00927AC4"/>
    <w:rsid w:val="00934F92"/>
    <w:rsid w:val="00935A03"/>
    <w:rsid w:val="00940AC4"/>
    <w:rsid w:val="00941285"/>
    <w:rsid w:val="00941F60"/>
    <w:rsid w:val="00943A84"/>
    <w:rsid w:val="009447AD"/>
    <w:rsid w:val="00944E1B"/>
    <w:rsid w:val="00946648"/>
    <w:rsid w:val="00946811"/>
    <w:rsid w:val="00946E74"/>
    <w:rsid w:val="0094757A"/>
    <w:rsid w:val="0095086A"/>
    <w:rsid w:val="00950D89"/>
    <w:rsid w:val="00952052"/>
    <w:rsid w:val="009525C7"/>
    <w:rsid w:val="00952A65"/>
    <w:rsid w:val="0095704E"/>
    <w:rsid w:val="0096082C"/>
    <w:rsid w:val="00961FA0"/>
    <w:rsid w:val="009621E6"/>
    <w:rsid w:val="009643B7"/>
    <w:rsid w:val="00966574"/>
    <w:rsid w:val="009672F2"/>
    <w:rsid w:val="0097267D"/>
    <w:rsid w:val="00985BBA"/>
    <w:rsid w:val="00986232"/>
    <w:rsid w:val="00986558"/>
    <w:rsid w:val="009866BF"/>
    <w:rsid w:val="009953FD"/>
    <w:rsid w:val="009955BE"/>
    <w:rsid w:val="009973B5"/>
    <w:rsid w:val="009A0161"/>
    <w:rsid w:val="009A1F2C"/>
    <w:rsid w:val="009A5A91"/>
    <w:rsid w:val="009A5ECB"/>
    <w:rsid w:val="009B0640"/>
    <w:rsid w:val="009B2CEF"/>
    <w:rsid w:val="009B325D"/>
    <w:rsid w:val="009B33D7"/>
    <w:rsid w:val="009C0AC8"/>
    <w:rsid w:val="009C203A"/>
    <w:rsid w:val="009D17DC"/>
    <w:rsid w:val="009D3676"/>
    <w:rsid w:val="009D4DF5"/>
    <w:rsid w:val="009D505B"/>
    <w:rsid w:val="009D5A49"/>
    <w:rsid w:val="009E37D0"/>
    <w:rsid w:val="009E5036"/>
    <w:rsid w:val="009E5305"/>
    <w:rsid w:val="009E5DBC"/>
    <w:rsid w:val="009F14F3"/>
    <w:rsid w:val="009F17B5"/>
    <w:rsid w:val="009F25CC"/>
    <w:rsid w:val="009F61C6"/>
    <w:rsid w:val="00A00FA6"/>
    <w:rsid w:val="00A11400"/>
    <w:rsid w:val="00A11A19"/>
    <w:rsid w:val="00A13066"/>
    <w:rsid w:val="00A17447"/>
    <w:rsid w:val="00A320AC"/>
    <w:rsid w:val="00A41584"/>
    <w:rsid w:val="00A41783"/>
    <w:rsid w:val="00A4211E"/>
    <w:rsid w:val="00A421A3"/>
    <w:rsid w:val="00A42CBF"/>
    <w:rsid w:val="00A44E78"/>
    <w:rsid w:val="00A459F7"/>
    <w:rsid w:val="00A45D0F"/>
    <w:rsid w:val="00A47236"/>
    <w:rsid w:val="00A53341"/>
    <w:rsid w:val="00A54E87"/>
    <w:rsid w:val="00A55A6D"/>
    <w:rsid w:val="00A56479"/>
    <w:rsid w:val="00A568C5"/>
    <w:rsid w:val="00A624D4"/>
    <w:rsid w:val="00A63D46"/>
    <w:rsid w:val="00A6711D"/>
    <w:rsid w:val="00A67533"/>
    <w:rsid w:val="00A7029A"/>
    <w:rsid w:val="00A71926"/>
    <w:rsid w:val="00A71E7B"/>
    <w:rsid w:val="00A8122A"/>
    <w:rsid w:val="00A82458"/>
    <w:rsid w:val="00A83165"/>
    <w:rsid w:val="00A83B8C"/>
    <w:rsid w:val="00A86504"/>
    <w:rsid w:val="00A8791E"/>
    <w:rsid w:val="00A92931"/>
    <w:rsid w:val="00A934E4"/>
    <w:rsid w:val="00A944E0"/>
    <w:rsid w:val="00A94F8D"/>
    <w:rsid w:val="00A950D6"/>
    <w:rsid w:val="00A9635B"/>
    <w:rsid w:val="00A9675A"/>
    <w:rsid w:val="00A969C5"/>
    <w:rsid w:val="00A97621"/>
    <w:rsid w:val="00AA3104"/>
    <w:rsid w:val="00AA3C12"/>
    <w:rsid w:val="00AA4654"/>
    <w:rsid w:val="00AB05C7"/>
    <w:rsid w:val="00AB2143"/>
    <w:rsid w:val="00AC0FE4"/>
    <w:rsid w:val="00AC6464"/>
    <w:rsid w:val="00AD269B"/>
    <w:rsid w:val="00AD32E8"/>
    <w:rsid w:val="00AD3BD4"/>
    <w:rsid w:val="00AD3CB3"/>
    <w:rsid w:val="00AD6462"/>
    <w:rsid w:val="00AE0ACA"/>
    <w:rsid w:val="00AE1804"/>
    <w:rsid w:val="00AE39CE"/>
    <w:rsid w:val="00AE734D"/>
    <w:rsid w:val="00AE79DF"/>
    <w:rsid w:val="00AF0817"/>
    <w:rsid w:val="00AF0B73"/>
    <w:rsid w:val="00AF25AD"/>
    <w:rsid w:val="00B00BEA"/>
    <w:rsid w:val="00B05204"/>
    <w:rsid w:val="00B066E2"/>
    <w:rsid w:val="00B10233"/>
    <w:rsid w:val="00B153C6"/>
    <w:rsid w:val="00B17784"/>
    <w:rsid w:val="00B17C54"/>
    <w:rsid w:val="00B2311D"/>
    <w:rsid w:val="00B23940"/>
    <w:rsid w:val="00B23C98"/>
    <w:rsid w:val="00B24B9C"/>
    <w:rsid w:val="00B25A69"/>
    <w:rsid w:val="00B2611C"/>
    <w:rsid w:val="00B320B4"/>
    <w:rsid w:val="00B325BA"/>
    <w:rsid w:val="00B33394"/>
    <w:rsid w:val="00B34FC0"/>
    <w:rsid w:val="00B35827"/>
    <w:rsid w:val="00B3649F"/>
    <w:rsid w:val="00B431CF"/>
    <w:rsid w:val="00B508B3"/>
    <w:rsid w:val="00B51357"/>
    <w:rsid w:val="00B513F2"/>
    <w:rsid w:val="00B524DE"/>
    <w:rsid w:val="00B5415D"/>
    <w:rsid w:val="00B63DE8"/>
    <w:rsid w:val="00B641D3"/>
    <w:rsid w:val="00B667C1"/>
    <w:rsid w:val="00B66D5F"/>
    <w:rsid w:val="00B66FE4"/>
    <w:rsid w:val="00B71E4C"/>
    <w:rsid w:val="00B722A9"/>
    <w:rsid w:val="00B77C4C"/>
    <w:rsid w:val="00B77EA3"/>
    <w:rsid w:val="00B77FCF"/>
    <w:rsid w:val="00B80483"/>
    <w:rsid w:val="00B86B64"/>
    <w:rsid w:val="00B907D8"/>
    <w:rsid w:val="00B917F0"/>
    <w:rsid w:val="00B927D5"/>
    <w:rsid w:val="00BA2276"/>
    <w:rsid w:val="00BA2782"/>
    <w:rsid w:val="00BA56E7"/>
    <w:rsid w:val="00BC4580"/>
    <w:rsid w:val="00BD2102"/>
    <w:rsid w:val="00BD4D79"/>
    <w:rsid w:val="00BD60C5"/>
    <w:rsid w:val="00BE083E"/>
    <w:rsid w:val="00BE1B1A"/>
    <w:rsid w:val="00BE3635"/>
    <w:rsid w:val="00BE4FC8"/>
    <w:rsid w:val="00BF031B"/>
    <w:rsid w:val="00BF136D"/>
    <w:rsid w:val="00BF342C"/>
    <w:rsid w:val="00BF611A"/>
    <w:rsid w:val="00BF6CEB"/>
    <w:rsid w:val="00BF7927"/>
    <w:rsid w:val="00C0022D"/>
    <w:rsid w:val="00C00C93"/>
    <w:rsid w:val="00C02940"/>
    <w:rsid w:val="00C03411"/>
    <w:rsid w:val="00C03C72"/>
    <w:rsid w:val="00C03DB0"/>
    <w:rsid w:val="00C05BE6"/>
    <w:rsid w:val="00C073CA"/>
    <w:rsid w:val="00C10C09"/>
    <w:rsid w:val="00C15012"/>
    <w:rsid w:val="00C15308"/>
    <w:rsid w:val="00C16957"/>
    <w:rsid w:val="00C204F3"/>
    <w:rsid w:val="00C27549"/>
    <w:rsid w:val="00C32537"/>
    <w:rsid w:val="00C33CA6"/>
    <w:rsid w:val="00C35FE4"/>
    <w:rsid w:val="00C37AD3"/>
    <w:rsid w:val="00C43152"/>
    <w:rsid w:val="00C45C64"/>
    <w:rsid w:val="00C464B4"/>
    <w:rsid w:val="00C46896"/>
    <w:rsid w:val="00C4715B"/>
    <w:rsid w:val="00C506AB"/>
    <w:rsid w:val="00C52442"/>
    <w:rsid w:val="00C553F0"/>
    <w:rsid w:val="00C5596D"/>
    <w:rsid w:val="00C57EED"/>
    <w:rsid w:val="00C60DF3"/>
    <w:rsid w:val="00C6182B"/>
    <w:rsid w:val="00C623BF"/>
    <w:rsid w:val="00C62FC5"/>
    <w:rsid w:val="00C65213"/>
    <w:rsid w:val="00C663B9"/>
    <w:rsid w:val="00C67035"/>
    <w:rsid w:val="00C67559"/>
    <w:rsid w:val="00C70106"/>
    <w:rsid w:val="00C722D1"/>
    <w:rsid w:val="00C72DC3"/>
    <w:rsid w:val="00C74965"/>
    <w:rsid w:val="00C7658F"/>
    <w:rsid w:val="00C771B7"/>
    <w:rsid w:val="00C81A42"/>
    <w:rsid w:val="00C81CDE"/>
    <w:rsid w:val="00C86A0D"/>
    <w:rsid w:val="00C877A0"/>
    <w:rsid w:val="00C916A5"/>
    <w:rsid w:val="00C91811"/>
    <w:rsid w:val="00C919C0"/>
    <w:rsid w:val="00C93324"/>
    <w:rsid w:val="00C95EDA"/>
    <w:rsid w:val="00CA3917"/>
    <w:rsid w:val="00CA530B"/>
    <w:rsid w:val="00CA71E2"/>
    <w:rsid w:val="00CB1760"/>
    <w:rsid w:val="00CB1B40"/>
    <w:rsid w:val="00CB2279"/>
    <w:rsid w:val="00CB3438"/>
    <w:rsid w:val="00CB4354"/>
    <w:rsid w:val="00CC119B"/>
    <w:rsid w:val="00CC3A8A"/>
    <w:rsid w:val="00CC435A"/>
    <w:rsid w:val="00CC48D2"/>
    <w:rsid w:val="00CC5C33"/>
    <w:rsid w:val="00CC7011"/>
    <w:rsid w:val="00CD0765"/>
    <w:rsid w:val="00CD38D0"/>
    <w:rsid w:val="00CD4F65"/>
    <w:rsid w:val="00CD5ACA"/>
    <w:rsid w:val="00CD69E4"/>
    <w:rsid w:val="00CE076C"/>
    <w:rsid w:val="00CE12BD"/>
    <w:rsid w:val="00CE2286"/>
    <w:rsid w:val="00CE37C2"/>
    <w:rsid w:val="00CE3CDF"/>
    <w:rsid w:val="00CE45BE"/>
    <w:rsid w:val="00CF004F"/>
    <w:rsid w:val="00CF0D53"/>
    <w:rsid w:val="00CF1CDD"/>
    <w:rsid w:val="00CF2FC8"/>
    <w:rsid w:val="00CF306E"/>
    <w:rsid w:val="00CF399E"/>
    <w:rsid w:val="00CF4C08"/>
    <w:rsid w:val="00CF5420"/>
    <w:rsid w:val="00CF78DC"/>
    <w:rsid w:val="00D035A2"/>
    <w:rsid w:val="00D060B1"/>
    <w:rsid w:val="00D07035"/>
    <w:rsid w:val="00D10109"/>
    <w:rsid w:val="00D1245B"/>
    <w:rsid w:val="00D12A07"/>
    <w:rsid w:val="00D12E6E"/>
    <w:rsid w:val="00D1317B"/>
    <w:rsid w:val="00D147F6"/>
    <w:rsid w:val="00D14B6F"/>
    <w:rsid w:val="00D14D92"/>
    <w:rsid w:val="00D20FA1"/>
    <w:rsid w:val="00D210A2"/>
    <w:rsid w:val="00D238D5"/>
    <w:rsid w:val="00D2643A"/>
    <w:rsid w:val="00D322AB"/>
    <w:rsid w:val="00D331F1"/>
    <w:rsid w:val="00D35078"/>
    <w:rsid w:val="00D40405"/>
    <w:rsid w:val="00D452CE"/>
    <w:rsid w:val="00D473A7"/>
    <w:rsid w:val="00D47F94"/>
    <w:rsid w:val="00D529AD"/>
    <w:rsid w:val="00D60ACF"/>
    <w:rsid w:val="00D63857"/>
    <w:rsid w:val="00D6459D"/>
    <w:rsid w:val="00D646B1"/>
    <w:rsid w:val="00D70F9C"/>
    <w:rsid w:val="00D74B5C"/>
    <w:rsid w:val="00D80180"/>
    <w:rsid w:val="00D807A2"/>
    <w:rsid w:val="00D839AD"/>
    <w:rsid w:val="00D843B2"/>
    <w:rsid w:val="00D85C64"/>
    <w:rsid w:val="00D90538"/>
    <w:rsid w:val="00D93C1B"/>
    <w:rsid w:val="00D93ED3"/>
    <w:rsid w:val="00D97754"/>
    <w:rsid w:val="00DA0715"/>
    <w:rsid w:val="00DA0C81"/>
    <w:rsid w:val="00DA1E22"/>
    <w:rsid w:val="00DA2439"/>
    <w:rsid w:val="00DA2486"/>
    <w:rsid w:val="00DA2515"/>
    <w:rsid w:val="00DA7BF0"/>
    <w:rsid w:val="00DB56C5"/>
    <w:rsid w:val="00DB62D5"/>
    <w:rsid w:val="00DC0929"/>
    <w:rsid w:val="00DC543A"/>
    <w:rsid w:val="00DC6478"/>
    <w:rsid w:val="00DC7291"/>
    <w:rsid w:val="00DD0441"/>
    <w:rsid w:val="00DD131F"/>
    <w:rsid w:val="00DD20B6"/>
    <w:rsid w:val="00DD646F"/>
    <w:rsid w:val="00DD794A"/>
    <w:rsid w:val="00DE4ADF"/>
    <w:rsid w:val="00DE5CFC"/>
    <w:rsid w:val="00DE6A0D"/>
    <w:rsid w:val="00DF1537"/>
    <w:rsid w:val="00DF311B"/>
    <w:rsid w:val="00DF3FE1"/>
    <w:rsid w:val="00DF461A"/>
    <w:rsid w:val="00DF47AC"/>
    <w:rsid w:val="00DF7802"/>
    <w:rsid w:val="00E00ECE"/>
    <w:rsid w:val="00E01CFA"/>
    <w:rsid w:val="00E032D0"/>
    <w:rsid w:val="00E035F6"/>
    <w:rsid w:val="00E14346"/>
    <w:rsid w:val="00E14778"/>
    <w:rsid w:val="00E14C56"/>
    <w:rsid w:val="00E15F00"/>
    <w:rsid w:val="00E201DD"/>
    <w:rsid w:val="00E202DD"/>
    <w:rsid w:val="00E41AF5"/>
    <w:rsid w:val="00E42C8A"/>
    <w:rsid w:val="00E45448"/>
    <w:rsid w:val="00E45DA2"/>
    <w:rsid w:val="00E4708F"/>
    <w:rsid w:val="00E4731E"/>
    <w:rsid w:val="00E54A8A"/>
    <w:rsid w:val="00E569B4"/>
    <w:rsid w:val="00E57DC1"/>
    <w:rsid w:val="00E61907"/>
    <w:rsid w:val="00E62D8E"/>
    <w:rsid w:val="00E66EEA"/>
    <w:rsid w:val="00E700AA"/>
    <w:rsid w:val="00E74313"/>
    <w:rsid w:val="00E74567"/>
    <w:rsid w:val="00E74755"/>
    <w:rsid w:val="00E7569F"/>
    <w:rsid w:val="00E772FF"/>
    <w:rsid w:val="00E80D90"/>
    <w:rsid w:val="00E8352F"/>
    <w:rsid w:val="00E90AE6"/>
    <w:rsid w:val="00E90B9C"/>
    <w:rsid w:val="00E9693D"/>
    <w:rsid w:val="00E97069"/>
    <w:rsid w:val="00EA052E"/>
    <w:rsid w:val="00EA1EB9"/>
    <w:rsid w:val="00EA200C"/>
    <w:rsid w:val="00EA28A2"/>
    <w:rsid w:val="00EA2C04"/>
    <w:rsid w:val="00EA34E6"/>
    <w:rsid w:val="00EA7DF5"/>
    <w:rsid w:val="00EB271D"/>
    <w:rsid w:val="00EB3A92"/>
    <w:rsid w:val="00EB6416"/>
    <w:rsid w:val="00EC0B8E"/>
    <w:rsid w:val="00EC3A22"/>
    <w:rsid w:val="00ED07F5"/>
    <w:rsid w:val="00ED2B9D"/>
    <w:rsid w:val="00ED51DA"/>
    <w:rsid w:val="00ED586F"/>
    <w:rsid w:val="00EE04A8"/>
    <w:rsid w:val="00EE796F"/>
    <w:rsid w:val="00EF2230"/>
    <w:rsid w:val="00EF29DA"/>
    <w:rsid w:val="00EF41F7"/>
    <w:rsid w:val="00EF6D14"/>
    <w:rsid w:val="00EF7ADA"/>
    <w:rsid w:val="00F01009"/>
    <w:rsid w:val="00F02093"/>
    <w:rsid w:val="00F03A76"/>
    <w:rsid w:val="00F03B61"/>
    <w:rsid w:val="00F05446"/>
    <w:rsid w:val="00F12071"/>
    <w:rsid w:val="00F14540"/>
    <w:rsid w:val="00F2135F"/>
    <w:rsid w:val="00F2184E"/>
    <w:rsid w:val="00F247F8"/>
    <w:rsid w:val="00F264AE"/>
    <w:rsid w:val="00F278E1"/>
    <w:rsid w:val="00F32237"/>
    <w:rsid w:val="00F326E5"/>
    <w:rsid w:val="00F33242"/>
    <w:rsid w:val="00F34EB0"/>
    <w:rsid w:val="00F34F5D"/>
    <w:rsid w:val="00F3668F"/>
    <w:rsid w:val="00F369DF"/>
    <w:rsid w:val="00F44C19"/>
    <w:rsid w:val="00F4719B"/>
    <w:rsid w:val="00F50AD0"/>
    <w:rsid w:val="00F51CFC"/>
    <w:rsid w:val="00F60011"/>
    <w:rsid w:val="00F6119A"/>
    <w:rsid w:val="00F624CA"/>
    <w:rsid w:val="00F63152"/>
    <w:rsid w:val="00F650CB"/>
    <w:rsid w:val="00F665F9"/>
    <w:rsid w:val="00F70BB2"/>
    <w:rsid w:val="00F767C2"/>
    <w:rsid w:val="00F80DBA"/>
    <w:rsid w:val="00F81C4F"/>
    <w:rsid w:val="00F822F2"/>
    <w:rsid w:val="00F83DFC"/>
    <w:rsid w:val="00F84AF2"/>
    <w:rsid w:val="00F9091D"/>
    <w:rsid w:val="00F91A33"/>
    <w:rsid w:val="00F93EEA"/>
    <w:rsid w:val="00F9438F"/>
    <w:rsid w:val="00FA1950"/>
    <w:rsid w:val="00FA1A16"/>
    <w:rsid w:val="00FB1702"/>
    <w:rsid w:val="00FB39C3"/>
    <w:rsid w:val="00FB5D1D"/>
    <w:rsid w:val="00FC41F5"/>
    <w:rsid w:val="00FC4B38"/>
    <w:rsid w:val="00FC6A7B"/>
    <w:rsid w:val="00FD07C6"/>
    <w:rsid w:val="00FD52C6"/>
    <w:rsid w:val="00FD6AB7"/>
    <w:rsid w:val="00FD769A"/>
    <w:rsid w:val="00FE2D27"/>
    <w:rsid w:val="00FE790F"/>
    <w:rsid w:val="00FF0867"/>
    <w:rsid w:val="00FF2217"/>
    <w:rsid w:val="00FF3146"/>
    <w:rsid w:val="00F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DAF45-C96E-4F20-8653-2A2DD548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2693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qFormat/>
    <w:rsid w:val="00842693"/>
    <w:pPr>
      <w:keepNext/>
      <w:ind w:left="-720" w:firstLine="720"/>
      <w:jc w:val="right"/>
      <w:outlineLvl w:val="4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6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rsid w:val="0084269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842693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8426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caption"/>
    <w:basedOn w:val="a"/>
    <w:next w:val="a"/>
    <w:qFormat/>
    <w:rsid w:val="00842693"/>
    <w:pPr>
      <w:autoSpaceDE w:val="0"/>
      <w:autoSpaceDN w:val="0"/>
      <w:spacing w:line="360" w:lineRule="auto"/>
      <w:jc w:val="center"/>
    </w:pPr>
    <w:rPr>
      <w:b/>
      <w:bCs/>
      <w:szCs w:val="20"/>
    </w:rPr>
  </w:style>
  <w:style w:type="paragraph" w:styleId="a6">
    <w:name w:val="Balloon Text"/>
    <w:basedOn w:val="a"/>
    <w:link w:val="a7"/>
    <w:semiHidden/>
    <w:rsid w:val="008426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84269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842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4269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26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Body Text Indent 3"/>
    <w:basedOn w:val="a"/>
    <w:link w:val="30"/>
    <w:rsid w:val="008426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426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8426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nhideWhenUsed/>
    <w:rsid w:val="0084269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rsid w:val="00842693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4269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842693"/>
    <w:rPr>
      <w:rFonts w:ascii="Calibri" w:eastAsia="Times New Roman" w:hAnsi="Calibri" w:cs="Times New Roman"/>
      <w:lang w:eastAsia="ru-RU"/>
    </w:rPr>
  </w:style>
  <w:style w:type="paragraph" w:styleId="ad">
    <w:name w:val="Title"/>
    <w:basedOn w:val="a"/>
    <w:link w:val="ae"/>
    <w:qFormat/>
    <w:rsid w:val="00842693"/>
    <w:pPr>
      <w:jc w:val="center"/>
    </w:pPr>
    <w:rPr>
      <w:sz w:val="28"/>
      <w:szCs w:val="20"/>
    </w:rPr>
  </w:style>
  <w:style w:type="character" w:customStyle="1" w:styleId="ae">
    <w:name w:val="Заголовок Знак"/>
    <w:basedOn w:val="a0"/>
    <w:link w:val="ad"/>
    <w:rsid w:val="008426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4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4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page number"/>
    <w:rsid w:val="00842693"/>
    <w:rPr>
      <w:rFonts w:cs="Times New Roman"/>
    </w:rPr>
  </w:style>
  <w:style w:type="character" w:styleId="af0">
    <w:name w:val="annotation reference"/>
    <w:uiPriority w:val="99"/>
    <w:rsid w:val="00842693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84269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842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42693"/>
    <w:rPr>
      <w:b/>
      <w:bCs/>
    </w:rPr>
  </w:style>
  <w:style w:type="character" w:customStyle="1" w:styleId="af4">
    <w:name w:val="Тема примечания Знак"/>
    <w:basedOn w:val="af2"/>
    <w:link w:val="af3"/>
    <w:rsid w:val="008426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Hyperlink"/>
    <w:uiPriority w:val="99"/>
    <w:rsid w:val="00842693"/>
    <w:rPr>
      <w:rFonts w:cs="Times New Roman"/>
      <w:color w:val="0000FF"/>
      <w:u w:val="single"/>
    </w:rPr>
  </w:style>
  <w:style w:type="paragraph" w:styleId="af6">
    <w:name w:val="endnote text"/>
    <w:basedOn w:val="a"/>
    <w:link w:val="af7"/>
    <w:uiPriority w:val="99"/>
    <w:semiHidden/>
    <w:unhideWhenUsed/>
    <w:rsid w:val="00827485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8274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827485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82748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274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827485"/>
    <w:rPr>
      <w:vertAlign w:val="superscript"/>
    </w:rPr>
  </w:style>
  <w:style w:type="paragraph" w:customStyle="1" w:styleId="12">
    <w:name w:val="Обычный1"/>
    <w:rsid w:val="008274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List Paragraph"/>
    <w:basedOn w:val="a"/>
    <w:uiPriority w:val="34"/>
    <w:qFormat/>
    <w:rsid w:val="00605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0571D5-3060-42E7-9F66-C6284BE71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30</Pages>
  <Words>7042</Words>
  <Characters>40144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Смирнова Анна Петровна</cp:lastModifiedBy>
  <cp:revision>10</cp:revision>
  <cp:lastPrinted>2019-03-06T06:24:00Z</cp:lastPrinted>
  <dcterms:created xsi:type="dcterms:W3CDTF">2019-03-06T02:08:00Z</dcterms:created>
  <dcterms:modified xsi:type="dcterms:W3CDTF">2019-03-13T02:20:00Z</dcterms:modified>
</cp:coreProperties>
</file>