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</w:p>
    <w:p>
      <w:pPr>
        <w:jc w:val="center"/>
        <w:rPr>
          <w:sz w:val="20"/>
          <w:szCs w:val="20"/>
        </w:rPr>
      </w:pPr>
    </w:p>
    <w:p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</w:p>
    <w:p>
      <w:pPr>
        <w:widowControl w:val="off"/>
        <w:jc w:val="center"/>
        <w:outlineLvl w:val="0"/>
        <w:rPr>
          <w:sz w:val="20"/>
          <w:szCs w:val="20"/>
        </w:rPr>
      </w:pPr>
    </w:p>
    <w:tbl>
      <w:tblPr>
        <w:tblStyle w:val="afa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6663" w:type="dxa"/>
            <w:tcBorders>
              <w:bottom w:val="none" w:color="000000" w:sz="4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</w:p>
    <w:p>
      <w:pPr>
        <w:jc w:val="center"/>
        <w:rPr>
          <w:bCs/>
          <w:sz w:val="20"/>
          <w:szCs w:val="20"/>
          <w:highlight w:val="green"/>
        </w:rPr>
      </w:pPr>
    </w:p>
    <w:p>
      <w:pPr>
        <w:pStyle w:val="43"/>
        <w:shd w:val="clear" w:color="auto" w:fill="auto"/>
        <w:spacing w:after="0" w:line="322" w:lineRule="exact"/>
        <w:ind w:left="20"/>
        <w:rPr>
          <w:color w:val="000000"/>
        </w:rPr>
      </w:pPr>
      <w:r>
        <w:t xml:space="preserve">О внесении изменений в приказ </w:t>
      </w:r>
      <w:r>
        <w:rPr>
          <w:color w:val="000000"/>
        </w:rPr>
        <w:t xml:space="preserve">министерства сельского хозяйства Новосибирской области от 21.12.2022 № 376-нпа</w:t>
      </w:r>
    </w:p>
    <w:p>
      <w:pPr>
        <w:jc w:val="center"/>
        <w:outlineLvl w:val="0"/>
        <w:rPr>
          <w:color w:val="000000"/>
        </w:rPr>
      </w:pPr>
    </w:p>
    <w:p>
      <w:pPr>
        <w:jc w:val="center"/>
        <w:outlineLvl w:val="0"/>
        <w:rPr>
          <w:color w:val="000000"/>
        </w:rPr>
      </w:pPr>
    </w:p>
    <w:p>
      <w:pPr>
        <w:widowControl w:val="off"/>
        <w:spacing w:line="317" w:lineRule="exact"/>
        <w:ind w:left="40" w:right="4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3 статьи 22 Федерального закона от 27.07.2004 № 79-ФЗ «О государственной гражданской службе Российской Федерации»,</w:t>
      </w:r>
    </w:p>
    <w:p>
      <w:pPr>
        <w:widowControl w:val="off"/>
        <w:spacing w:line="280" w:lineRule="exact"/>
        <w:rPr>
          <w:color w:val="00000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 xml:space="preserve">ПРИКАЗЫВАЮ:</w:t>
      </w:r>
    </w:p>
    <w:p>
      <w:pPr>
        <w:widowControl w:val="off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21.12.2022 № 376-нпа «Об утверждении перечня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 следующие изменения:</w:t>
      </w:r>
    </w:p>
    <w:p>
      <w:pPr>
        <w:widowControl w:val="off"/>
        <w:tabs>
          <w:tab w:val="left" w:pos="99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переч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</w:t>
      </w:r>
      <w:r>
        <w:rPr>
          <w:color w:val="000000"/>
          <w:sz w:val="28"/>
          <w:szCs w:val="28"/>
        </w:rPr>
        <w:br/>
        <w:t xml:space="preserve">сведений, составляющих государственную тайну, при назначении </w:t>
      </w:r>
      <w:r>
        <w:rPr>
          <w:color w:val="000000"/>
          <w:sz w:val="28"/>
          <w:szCs w:val="28"/>
        </w:rPr>
        <w:br/>
        <w:t xml:space="preserve">на которые конкурс может не проводиться</w:t>
      </w:r>
      <w:r>
        <w:rPr>
          <w:color w:val="000000"/>
          <w:sz w:val="28"/>
          <w:szCs w:val="28"/>
        </w:rPr>
        <w:t xml:space="preserve">: </w:t>
      </w:r>
    </w:p>
    <w:p>
      <w:pPr>
        <w:pStyle w:val="af4"/>
        <w:widowControl w:val="off"/>
        <w:tabs>
          <w:tab w:val="left" w:pos="992"/>
        </w:tabs>
        <w:spacing w:line="317" w:lineRule="exact"/>
        <w:ind w:left="0"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пункте 19 слова «</w:t>
      </w:r>
      <w:r>
        <w:rPr>
          <w:color w:val="000000"/>
          <w:sz w:val="28"/>
          <w:szCs w:val="28"/>
        </w:rPr>
        <w:t xml:space="preserve">Консультант</w:t>
      </w:r>
      <w:r>
        <w:rPr>
          <w:color w:val="000000"/>
          <w:sz w:val="28"/>
          <w:szCs w:val="28"/>
        </w:rPr>
        <w:t xml:space="preserve">» заменить словами «</w:t>
      </w:r>
      <w:r>
        <w:rPr>
          <w:color w:val="000000"/>
          <w:sz w:val="28"/>
          <w:szCs w:val="28"/>
        </w:rPr>
        <w:t xml:space="preserve">Заместитель начальника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 </w:t>
      </w:r>
    </w:p>
    <w:p>
      <w:pPr>
        <w:widowControl w:val="off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>
      <w:pPr>
        <w:widowControl w:val="off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>
      <w:pPr>
        <w:widowControl w:val="off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Исполняющий обязанности </w:t>
      </w:r>
      <w:r>
        <w:rPr>
          <w:spacing w:val="-4"/>
          <w:sz w:val="28"/>
          <w:szCs w:val="28"/>
        </w:rPr>
        <w:t xml:space="preserve">министр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                                                              </w:t>
      </w:r>
      <w:r>
        <w:rPr>
          <w:spacing w:val="-4"/>
          <w:sz w:val="28"/>
          <w:szCs w:val="28"/>
        </w:rPr>
        <w:t xml:space="preserve">А.В. Шинделов</w:t>
      </w: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Е.В. Макаренко </w:t>
      </w:r>
    </w:p>
    <w:p>
      <w:pPr>
        <w:widowControl w:val="off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238 65 38</w:t>
      </w:r>
    </w:p>
    <w:p>
      <w:pPr>
        <w:widowControl w:val="off"/>
        <w:jc w:val="both"/>
        <w:rPr>
          <w:sz w:val="28"/>
          <w:szCs w:val="28"/>
        </w:rPr>
        <w:sectPr>
          <w:headerReference w:type="default" r:id="rId9"/>
          <w:pgSz w:w="11906" w:h="16838"/>
          <w:pgMar w:top="993" w:right="567" w:bottom="1134" w:left="1418" w:header="709" w:footer="709" w:gutter="0"/>
          <w:cols w:space="708"/>
          <w:docGrid w:linePitch="360"/>
          <w:titlePg/>
        </w:sectPr>
      </w:pP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</w:t>
      </w:r>
    </w:p>
    <w:p>
      <w:pPr>
        <w:widowControl w:val="off"/>
        <w:jc w:val="center"/>
        <w:rPr>
          <w:sz w:val="28"/>
          <w:szCs w:val="28"/>
        </w:rPr>
      </w:pPr>
    </w:p>
    <w:p>
      <w:pPr>
        <w:pStyle w:val="af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приказа министерства сельского хозяйства Новосибирской области</w:t>
      </w:r>
    </w:p>
    <w:p>
      <w:pPr>
        <w:pStyle w:val="af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0"/>
        </w:rPr>
        <w:t xml:space="preserve">Об утверждении перечня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</w:p>
    <w:p>
      <w:pPr>
        <w:widowControl w:val="off"/>
        <w:jc w:val="both"/>
        <w:rPr>
          <w:spacing w:val="-4"/>
          <w:sz w:val="28"/>
          <w:szCs w:val="2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812"/>
        <w:gridCol w:w="284"/>
        <w:gridCol w:w="3827"/>
      </w:tblGrid>
      <w:tr>
        <w:trPr>
          <w:trHeight w:val="1124"/>
        </w:trPr>
        <w:tc>
          <w:tcPr>
            <w:tcW w:w="581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обеспечения и кадровой политики </w:t>
            </w:r>
          </w:p>
        </w:tc>
        <w:tc>
          <w:tcPr>
            <w:tcW w:w="28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Шинделов</w:t>
            </w: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А.Б. Пахомов</w:t>
            </w:r>
          </w:p>
        </w:tc>
      </w:tr>
      <w:tr>
        <w:trPr>
          <w:trHeight w:val="1124"/>
        </w:trPr>
        <w:tc>
          <w:tcPr>
            <w:tcW w:w="5812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начальника управления – начальник юридического отдела управления правового обеспечения и кадровой политики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Макаренко</w:t>
            </w:r>
          </w:p>
        </w:tc>
      </w:tr>
    </w:tbl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 w:val="28"/>
          <w:szCs w:val="28"/>
        </w:rPr>
      </w:pPr>
    </w:p>
    <w:p>
      <w:pPr>
        <w:widowControl w:val="off"/>
        <w:jc w:val="both"/>
        <w:rPr>
          <w:spacing w:val="-4"/>
          <w:szCs w:val="28"/>
        </w:rPr>
      </w:pPr>
    </w:p>
    <w:p>
      <w:pPr>
        <w:widowControl w:val="off"/>
        <w:jc w:val="both"/>
        <w:rPr>
          <w:spacing w:val="-4"/>
          <w:szCs w:val="28"/>
        </w:rPr>
      </w:pPr>
    </w:p>
    <w:p>
      <w:pPr>
        <w:widowControl w:val="off"/>
        <w:jc w:val="both"/>
        <w:rPr>
          <w:spacing w:val="-4"/>
          <w:szCs w:val="28"/>
        </w:rPr>
      </w:pPr>
    </w:p>
    <w:p>
      <w:pPr>
        <w:widowControl w:val="off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Проект направлен в прокуратуру Новосибирской области («</w:t>
      </w:r>
      <w:r>
        <w:rPr>
          <w:spacing w:val="-4"/>
          <w:szCs w:val="28"/>
        </w:rPr>
        <w:t xml:space="preserve">11</w:t>
      </w:r>
      <w:r>
        <w:rPr>
          <w:spacing w:val="-4"/>
          <w:szCs w:val="28"/>
        </w:rPr>
        <w:t xml:space="preserve">» </w:t>
      </w:r>
      <w:r>
        <w:rPr>
          <w:spacing w:val="-4"/>
          <w:szCs w:val="28"/>
        </w:rPr>
        <w:t xml:space="preserve">июн</w:t>
      </w:r>
      <w:r>
        <w:rPr>
          <w:spacing w:val="-4"/>
          <w:szCs w:val="28"/>
        </w:rPr>
        <w:t xml:space="preserve">я 2024 г.). </w:t>
      </w:r>
    </w:p>
    <w:p>
      <w:pPr>
        <w:widowControl w:val="off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4"/>
          <w:szCs w:val="28"/>
        </w:rP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(http:dem.nso.ru) (с «</w:t>
      </w:r>
      <w:r>
        <w:rPr>
          <w:spacing w:val="-4"/>
          <w:szCs w:val="28"/>
        </w:rPr>
        <w:t xml:space="preserve">12</w:t>
      </w:r>
      <w:r>
        <w:rPr>
          <w:spacing w:val="-4"/>
          <w:szCs w:val="28"/>
        </w:rPr>
        <w:t xml:space="preserve">» </w:t>
      </w:r>
      <w:r>
        <w:rPr>
          <w:spacing w:val="-4"/>
          <w:szCs w:val="28"/>
        </w:rPr>
        <w:t xml:space="preserve">июн</w:t>
      </w:r>
      <w:r>
        <w:rPr>
          <w:spacing w:val="-4"/>
          <w:szCs w:val="28"/>
        </w:rPr>
        <w:t xml:space="preserve">я 2024 г. по «</w:t>
      </w:r>
      <w:r>
        <w:rPr>
          <w:spacing w:val="-4"/>
          <w:szCs w:val="28"/>
        </w:rPr>
        <w:t xml:space="preserve">18</w:t>
      </w:r>
      <w:r>
        <w:rPr>
          <w:spacing w:val="-4"/>
          <w:szCs w:val="28"/>
        </w:rPr>
        <w:t xml:space="preserve">» </w:t>
      </w:r>
      <w:r>
        <w:rPr>
          <w:spacing w:val="-4"/>
          <w:szCs w:val="28"/>
        </w:rPr>
        <w:t xml:space="preserve">июня</w:t>
      </w:r>
      <w:r>
        <w:rPr>
          <w:spacing w:val="-4"/>
          <w:szCs w:val="28"/>
        </w:rPr>
        <w:t xml:space="preserve"> 2024 г.).  </w:t>
      </w:r>
    </w:p>
    <w:sectPr>
      <w:headerReference w:type="default" r:id="rId10"/>
      <w:pgSz w:w="11909" w:h="16838"/>
      <w:pgMar w:top="1134" w:right="567" w:bottom="1134" w:left="1418" w:header="397" w:footer="6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512752810"/>
      <w:docPartObj>
        <w:docPartGallery w:val="Page Numbers (Top of Page)"/>
        <w:docPartUnique w:val="true"/>
      </w:docPartObj>
    </w:sdtPr>
    <w:sdtContent>
      <w:p>
        <w:pPr>
          <w:pStyle w:val="af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203630207"/>
      <w:docPartObj>
        <w:docPartGallery w:val="Page Numbers (Top of Page)"/>
        <w:docPartUnique w:val="true"/>
      </w:docPartObj>
    </w:sdtPr>
    <w:sdtContent>
      <w:p>
        <w:pPr>
          <w:pStyle w:val="af5"/>
          <w:jc w:val="center"/>
        </w:pPr>
        <w:r>
          <w:t xml:space="preserve">2</w:t>
        </w:r>
      </w:p>
    </w:sdtContent>
  </w:sdt>
  <w:p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A66E4F2">
      <w:start w:val="1"/>
      <w:numFmt w:val="decimal"/>
      <w:lvlText w:val="%1."/>
      <w:lvlJc w:val="left"/>
    </w:lvl>
    <w:lvl w:ilvl="1" w:tplc="D2663A54">
      <w:start w:val="1"/>
      <w:numFmt w:val="lowerLetter"/>
      <w:lvlText w:val="%2."/>
      <w:lvlJc w:val="left"/>
      <w:pPr>
        <w:ind w:left="1440" w:hanging="360"/>
      </w:pPr>
    </w:lvl>
    <w:lvl w:ilvl="2" w:tplc="1E088242">
      <w:start w:val="1"/>
      <w:numFmt w:val="lowerRoman"/>
      <w:lvlText w:val="%3."/>
      <w:lvlJc w:val="right"/>
      <w:pPr>
        <w:ind w:left="2160" w:hanging="180"/>
      </w:pPr>
    </w:lvl>
    <w:lvl w:ilvl="3" w:tplc="C1D82D6A">
      <w:start w:val="1"/>
      <w:numFmt w:val="decimal"/>
      <w:lvlText w:val="%4."/>
      <w:lvlJc w:val="left"/>
      <w:pPr>
        <w:ind w:left="2880" w:hanging="360"/>
      </w:pPr>
    </w:lvl>
    <w:lvl w:ilvl="4" w:tplc="8250943C">
      <w:start w:val="1"/>
      <w:numFmt w:val="lowerLetter"/>
      <w:lvlText w:val="%5."/>
      <w:lvlJc w:val="left"/>
      <w:pPr>
        <w:ind w:left="3600" w:hanging="360"/>
      </w:pPr>
    </w:lvl>
    <w:lvl w:ilvl="5" w:tplc="3F5053D2">
      <w:start w:val="1"/>
      <w:numFmt w:val="lowerRoman"/>
      <w:lvlText w:val="%6."/>
      <w:lvlJc w:val="right"/>
      <w:pPr>
        <w:ind w:left="4320" w:hanging="180"/>
      </w:pPr>
    </w:lvl>
    <w:lvl w:ilvl="6" w:tplc="243A242A">
      <w:start w:val="1"/>
      <w:numFmt w:val="decimal"/>
      <w:lvlText w:val="%7."/>
      <w:lvlJc w:val="left"/>
      <w:pPr>
        <w:ind w:left="5040" w:hanging="360"/>
      </w:pPr>
    </w:lvl>
    <w:lvl w:ilvl="7" w:tplc="BF50FF62">
      <w:start w:val="1"/>
      <w:numFmt w:val="lowerLetter"/>
      <w:lvlText w:val="%8."/>
      <w:lvlJc w:val="left"/>
      <w:pPr>
        <w:ind w:left="5760" w:hanging="360"/>
      </w:pPr>
    </w:lvl>
    <w:lvl w:ilvl="8" w:tplc="EA9622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6762A9CC">
      <w:start w:val="1"/>
      <w:numFmt w:val="decimal"/>
      <w:lvlText w:val="%1."/>
      <w:lvlJc w:val="left"/>
    </w:lvl>
    <w:lvl w:ilvl="1" w:tplc="96942DF6">
      <w:start w:val="1"/>
      <w:numFmt w:val="lowerLetter"/>
      <w:lvlText w:val="%2."/>
      <w:lvlJc w:val="left"/>
      <w:pPr>
        <w:ind w:left="1440" w:hanging="360"/>
      </w:pPr>
    </w:lvl>
    <w:lvl w:ilvl="2" w:tplc="BB44C0E2">
      <w:start w:val="1"/>
      <w:numFmt w:val="lowerRoman"/>
      <w:lvlText w:val="%3."/>
      <w:lvlJc w:val="right"/>
      <w:pPr>
        <w:ind w:left="2160" w:hanging="180"/>
      </w:pPr>
    </w:lvl>
    <w:lvl w:ilvl="3" w:tplc="2F843C8C">
      <w:start w:val="1"/>
      <w:numFmt w:val="decimal"/>
      <w:lvlText w:val="%4."/>
      <w:lvlJc w:val="left"/>
      <w:pPr>
        <w:ind w:left="2880" w:hanging="360"/>
      </w:pPr>
    </w:lvl>
    <w:lvl w:ilvl="4" w:tplc="15FCCF1E">
      <w:start w:val="1"/>
      <w:numFmt w:val="lowerLetter"/>
      <w:lvlText w:val="%5."/>
      <w:lvlJc w:val="left"/>
      <w:pPr>
        <w:ind w:left="3600" w:hanging="360"/>
      </w:pPr>
    </w:lvl>
    <w:lvl w:ilvl="5" w:tplc="3076642C">
      <w:start w:val="1"/>
      <w:numFmt w:val="lowerRoman"/>
      <w:lvlText w:val="%6."/>
      <w:lvlJc w:val="right"/>
      <w:pPr>
        <w:ind w:left="4320" w:hanging="180"/>
      </w:pPr>
    </w:lvl>
    <w:lvl w:ilvl="6" w:tplc="84FC554C">
      <w:start w:val="1"/>
      <w:numFmt w:val="decimal"/>
      <w:lvlText w:val="%7."/>
      <w:lvlJc w:val="left"/>
      <w:pPr>
        <w:ind w:left="5040" w:hanging="360"/>
      </w:pPr>
    </w:lvl>
    <w:lvl w:ilvl="7" w:tplc="DD046E98">
      <w:start w:val="1"/>
      <w:numFmt w:val="lowerLetter"/>
      <w:lvlText w:val="%8."/>
      <w:lvlJc w:val="left"/>
      <w:pPr>
        <w:ind w:left="5760" w:hanging="360"/>
      </w:pPr>
    </w:lvl>
    <w:lvl w:ilvl="8" w:tplc="219A68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CDC211CA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D52A2A62">
      <w:start w:val="1"/>
      <w:numFmt w:val="decimal"/>
      <w:lvlText w:val=""/>
      <w:lvlJc w:val="left"/>
    </w:lvl>
    <w:lvl w:ilvl="2" w:tplc="3CD41892">
      <w:start w:val="1"/>
      <w:numFmt w:val="decimal"/>
      <w:lvlText w:val=""/>
      <w:lvlJc w:val="left"/>
    </w:lvl>
    <w:lvl w:ilvl="3" w:tplc="040235D6">
      <w:start w:val="1"/>
      <w:numFmt w:val="decimal"/>
      <w:lvlText w:val=""/>
      <w:lvlJc w:val="left"/>
    </w:lvl>
    <w:lvl w:ilvl="4" w:tplc="DFECDA16">
      <w:start w:val="1"/>
      <w:numFmt w:val="decimal"/>
      <w:lvlText w:val=""/>
      <w:lvlJc w:val="left"/>
    </w:lvl>
    <w:lvl w:ilvl="5" w:tplc="3A0A1316">
      <w:start w:val="1"/>
      <w:numFmt w:val="decimal"/>
      <w:lvlText w:val=""/>
      <w:lvlJc w:val="left"/>
    </w:lvl>
    <w:lvl w:ilvl="6" w:tplc="B4246E66">
      <w:start w:val="1"/>
      <w:numFmt w:val="decimal"/>
      <w:lvlText w:val=""/>
      <w:lvlJc w:val="left"/>
    </w:lvl>
    <w:lvl w:ilvl="7" w:tplc="A142D864">
      <w:start w:val="1"/>
      <w:numFmt w:val="decimal"/>
      <w:lvlText w:val=""/>
      <w:lvlJc w:val="left"/>
    </w:lvl>
    <w:lvl w:ilvl="8" w:tplc="F90E4C3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styleId="ab" w:customStyle="1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styleId="ae" w:customStyle="1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3" w:customStyle="1">
    <w:name w:val="Текст выноски Знак"/>
    <w:basedOn w:val="a0"/>
    <w:link w:val="af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styleId="af6" w:customStyle="1">
    <w:name w:val="Верхний колонтитул Знак"/>
    <w:basedOn w:val="a0"/>
    <w:link w:val="af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styleId="af8" w:customStyle="1">
    <w:name w:val="Нижний колонтитул Знак"/>
    <w:basedOn w:val="a0"/>
    <w:link w:val="af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9">
    <w:name w:val="Hyperlink"/>
    <w:basedOn w:val="a0"/>
    <w:rPr>
      <w:color w:val="0066cc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b" w:customStyle="1">
    <w:name w:val="Основной текст_"/>
    <w:basedOn w:val="a0"/>
    <w:link w:val="4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43" w:customStyle="1">
    <w:name w:val="Основной текст4"/>
    <w:basedOn w:val="a"/>
    <w:link w:val="afb"/>
    <w:pPr>
      <w:widowControl w:val="off"/>
      <w:shd w:val="clear" w:color="auto" w:fill="ffffff"/>
      <w:spacing w:after="300" w:line="0" w:lineRule="atLeast"/>
      <w:jc w:val="center"/>
    </w:pPr>
    <w:rPr>
      <w:sz w:val="28"/>
      <w:szCs w:val="28"/>
      <w:lang w:eastAsia="en-US"/>
    </w:rPr>
  </w:style>
  <w:style w:type="character" w:styleId="25" w:customStyle="1">
    <w:name w:val="Основной текст (2)_"/>
    <w:basedOn w:val="a0"/>
    <w:link w:val="26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styleId="26" w:customStyle="1">
    <w:name w:val="Основной текст (2)"/>
    <w:basedOn w:val="a"/>
    <w:link w:val="25"/>
    <w:pPr>
      <w:widowControl w:val="off"/>
      <w:shd w:val="clear" w:color="auto" w:fill="ffffff"/>
      <w:spacing w:before="180" w:after="480" w:line="317" w:lineRule="exact"/>
      <w:jc w:val="center"/>
    </w:pPr>
    <w:rPr>
      <w:b/>
      <w:bCs/>
      <w:sz w:val="27"/>
      <w:szCs w:val="27"/>
      <w:lang w:eastAsia="en-US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CFFD-5239-40AB-829D-170AF576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2028</Characters>
  <CharactersWithSpaces>2271</CharactersWithSpaces>
  <Company>Contract</Company>
  <DocSecurity>0</DocSecurity>
  <HyperlinksChanged>false</HyperlinksChanged>
  <Lines>112</Lines>
  <LinksUpToDate>false</LinksUpToDate>
  <Pages>2</Pages>
  <Paragraphs>30</Paragraphs>
  <ScaleCrop>false</ScaleCrop>
  <SharedDoc>false</SharedDoc>
  <Template>Normal</Template>
  <TotalTime>0</TotalTime>
  <Words>273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Макаренко Екатерина Викторовна</cp:lastModifiedBy>
  <cp:revision>2</cp:revision>
  <cp:lastPrinted>2024-06-11T02:09:00Z</cp:lastPrinted>
  <dcterms:created xsi:type="dcterms:W3CDTF">2024-06-11T02:09:00Z</dcterms:created>
  <dcterms:modified xsi:type="dcterms:W3CDTF">2024-06-11T02:09:00Z</dcterms:modified>
</cp:coreProperties>
</file>