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 w:hanging="5954"/>
        <w:jc w:val="right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ПРИЛОЖЕНИЕ № 2</w:t>
      </w:r>
      <w:r/>
    </w:p>
    <w:p>
      <w:pPr>
        <w:ind w:left="5954" w:hanging="5954"/>
        <w:jc w:val="right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 постановлению Правительства </w:t>
      </w:r>
      <w:r/>
    </w:p>
    <w:p>
      <w:pPr>
        <w:jc w:val="right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 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государственной программе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«Социальная поддержка 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поддержка в Новосибирской области»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55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0"/>
        <w:gridCol w:w="1276"/>
        <w:gridCol w:w="447"/>
        <w:gridCol w:w="404"/>
        <w:gridCol w:w="346"/>
        <w:gridCol w:w="504"/>
        <w:gridCol w:w="1134"/>
        <w:gridCol w:w="1134"/>
        <w:gridCol w:w="1417"/>
        <w:gridCol w:w="1559"/>
      </w:tblGrid>
      <w:tr>
        <w:trPr>
          <w:trHeight w:val="465"/>
        </w:trPr>
        <w:tc>
          <w:tcPr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auto" w:fill="ffffff" w:themeFill="background1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Ресурсное обеспечение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142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780"/>
        </w:trPr>
        <w:tc>
          <w:tcPr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Источники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4"/>
            <w:shd w:val="clear" w:color="auto" w:fill="ffffff" w:themeFill="background1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Код бюджетной  классификации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годам реализации, тыс. руб.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ГРБС (ответственный исполнитель)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 (краткое описание)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570"/>
        </w:trPr>
        <w:tc>
          <w:tcPr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ГРБС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ГП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пГП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ОМ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2022 год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2023 год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450"/>
        </w:trPr>
        <w:tc>
          <w:tcPr>
            <w:gridSpan w:val="10"/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1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Цель государственной программы: улучшение качества жизни получателей мер социальной поддержки, повышение доступности и качества социального обслуживания населения Новосибирской области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154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Общепрограммное мероприятие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Финансовое обеспечение оказания государственных услуг государственными учреждениями Новосибирской области, подведомственными МТиСР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2447865,8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shd w:val="clear" w:color="ffffff" w:themeColor="background1" w:fill="ffffff" w:themeFill="background1"/>
              </w:rPr>
              <w:t xml:space="preserve">2648973,2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МТиСР, государственные учреждения Новосибир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ской области, подведомственные МТиСР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Обеспечение возможности получения социальных услуг, предоставляемых гражданам в стационарной и полустационарной формах социального обслуживания на базе государственных учреждений, подведомственных министерству.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Обеспече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профилактики правонарушений путем решения вопросов социального обеспечения и адаптации граждан, попавших в трудную жизненную ситуацию, включая лиц, освобожденных из мест лишения свободы, осужденных к наказаниям, не связанным с изоляцией от общества,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лиц без определенного места жительства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154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54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местные бюджеты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54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внебюджетные источники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54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налоговые расходы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33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Общепрограммное мероприятие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Финансовое и организационное обеспечение социального обслуживания  отдельных категорий граждан, оказание социально полезных услуг, в том числе повышение качества их оказания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2564012,9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3007045,1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МТиСР, НКО, МТиСР во взаимодейств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ии с органами местного самоуправления муниципальных образований Новосибирской области, организации, определяемые заказчиком в соответствии с законодательством Российской Федерации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Новосибирской области, государственные учреждения Новосибирской области,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одведомственные МТиСР, МС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Стимулирование активной жизненной позиции у населения Новосибирской области и работников социальной сферы за счет проведения социально значимых мероприятий. Повышение уровня информированности населения по вопросам получения социал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ьной поддержки, формирование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положительного имиджа системы социальной защиты. Обеспечение социального обслуживания отдельных категорий граждан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133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21800,0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33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33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местные бюджеты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33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33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налоговые расходы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6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Общепрограммное мероприятие О3.  Обеспечение деятельности государственных учреждений, подведомственных МТиСР, за счет средств от оказания платных услуг, безвозмездных поступлений от физических и юридических лиц, в том числе добровольных пожертвований, и ср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едств от иной приносящей доходы деятельности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МТиСР, государственные учреждения Новосибирской области, подведомственные МТиСР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Повышение качества социальных услуг, предоставляемых гражданам в полустационарной и стационарной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ормах на базе государственных учреждений, подведомственных МТиСР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96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6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местные бюджеты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6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1030665,4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1104986,9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6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налоговые расходы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6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Общепрограммное мероприятие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Реализация мер государственной поддержки в части предоставления налоговых льгот, освобождений и иных преференций по налогам, предоставляемы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 отдельным категориям плательщиков в целях улучшения качества жизни получателей мер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социальной поддержки, повышения доступности и качества социального обслуживания населения Новосибирской области   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МТиСР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Повышение уровня жизни отдельных категорий граждан и повышение качества услуг,  оказываемых обществе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нными организациями за счет снижения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налоговой нагрузки при уплате налогов гражданами и общественными организациями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96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6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местные бюджеты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6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53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налоговые расходы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105415,0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249018,0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gridSpan w:val="10"/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1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Задача 1 государственной программы: создание благоприятных условий для улучшения положения детей и семей с детьми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285"/>
        </w:trPr>
        <w:tc>
          <w:tcPr>
            <w:gridSpan w:val="10"/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1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Подпрограмма 1. «Семья и дети»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435"/>
        </w:trPr>
        <w:tc>
          <w:tcPr>
            <w:gridSpan w:val="10"/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1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Цель подпрограммы 1: улучшение качества жизни семей с детьми, детей, в том числе детей-инвалидов, детей-сирот и детей, оставшихся без попечения родителей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765"/>
        </w:trPr>
        <w:tc>
          <w:tcPr>
            <w:gridSpan w:val="10"/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1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Задача 1 цели  подпрограммы 1: развитие системы государственной поддержки семей с детьми, в том числе детей-инвалидов, детей-сирот  и детей,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оставшихся без попечения родителей, социального обслуживания и социального сопровождения детей и семей с детьми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64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сновное мероприятие 1.1.1.1.1.1. Региональный проект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Финансовая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поддержка семей при рождении детей"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1613707,2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1413043,1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МТиСР, организации, опред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еляемые заказчиком в соответствии с законодательством Российской Федерации и Новосибирской области 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Минимизация последствий изменения материального положения семей в связи с рождением детей, и осуществление долгосрочного планирова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ния личных финансов на всех этапах жизнедеятельности семьи, связанных с рождением детей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64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5452184,7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1842911,1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4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местные бюджеты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4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4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налоговые расходы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Основное мероприятие 1.1.1.1.1.2.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Внедрение современных форм реабилитации и технологий работы в сфере социального обслуживания и социального сопровождения детей и семей с детьми, в том числе детей-инвалидов, детей-сирот и детей, оставшихся без попечения 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дителей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75859,6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57811,7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МТиСР,  МС, государственные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учреждения Новосибирской области, подведомственные МТиСР, НКО, организации, определяемые заказчиком в соответствии с законодательством Российской Федерации и Новосибирской об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ласти, МТиСР во взаимодействии с органами местного самоуправления муниципальных образований Новосибирской области,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Укрепление института семьи,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повышение престижа материнства и отцовства, обеспечение развития и сохранение семейных ценностей. Повышение дост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упности и качества услуг, предоставляемых детям, семьям с детьми, в том числе семьям с детьми инвалидами. Снижение уровня социального сиротства, профилактика жестокого обращения с детьми. Стимулирование активной жизненной позиции у населения Новосибирской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области и работников социальной сферы за счет проведения социально значимых мероприятий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8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53243,2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16365,7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12843,4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местные бюджеты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внебюджетные источники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налоговые расходы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Основное мероприятие  1.1.1.1.1.3. Оказание государственной поддержки отдельным категориям семей с детьми,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семей с детьми-инвалидами, многодетных семей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7418743,2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9101922,4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МТиСР, организации, определяемые заказчиком в соответствии с законодательством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Российской Федерации и Новосибирской области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Государственная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социальная поддержка семей с детьми, в том числе многодетных семей, семей с детьми-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инвалидами, семей при рождении дв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ух и более детей одновременно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8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7899489,5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3938115,2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местные бюджеты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налоговые расходы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05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Основное мероприятие 1.1.1.1.1.4.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Организация деятельности по опеке и попечительству, обеспечение сопровождения, прав и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4027495,3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6017469,9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МТиСР, МС, МТиСР во взаимодействии с органами местного самоуправления муниципальных образований Новосибирской области, НКО, организации, определяемые заказчиком в соответствии с законодательством Российской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Федерации и Новосибирской области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Улучшение условий содержания и воспитания детей, являющихся воспитанниками учреждений для детей-сирот и детей, оставшихся без попечения родителей, создание условий для деинституциализации детей-сирот и детей, оставшихся бе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 попечения родителей (проведение социально значимых мероприятий и поддержка одаренных детей-сирот, развитие мер по семейным формам устройства детей-сирот, направление субвенций в муниципальные образования Новосибирской области на организацию и осуществлен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ие деятельности по опеке и попечительству, улучшение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условий содержания и воспитания, социальную поддержку детей-сирот и детей, оставшихся без попечения родителей)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105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677162,1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1064255,2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05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278549,4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297463,1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05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местные бюджеты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05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05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налоговые расходы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Основное мероприятие 1.1.1.1.1.5.  Реализация мероприятий, направленных на профилактику безнадзорности, правонарушений несовершеннолетних, социализацию и реабилитацию несовершеннолетних, находящихся в конфликте с законом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05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82228,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119779,6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МТиСР, МТиСР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Создание условий для совершенствования системы профилакт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ики преступности и правонарушений несовершеннолетних, социализации и реабилитации несовершеннолетних, находящихся в конфликте с законом. Координация деятельности органов и учреждений системы профилактики безнадзорности и правонарушений несовершеннолетних 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8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05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270,0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278,8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местные бюджеты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налоговые расходы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gridSpan w:val="10"/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1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Задача 2 цели  подпрограммы 1: обеспечение потребности детей в отдыхе и оздоровлении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Основное мероприятие 1.1.1.1.2.1.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Организация отдыха и оздоровления детей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750283,9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1188435,9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МТиСР, МТиСР во взаимодейств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ии с органами местного самоуправления муниципальных образований Новосибирской области, НКО, государственны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 учреждения Новосибирской области, подведомственные МТиСР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Оздоровление детей, проживающих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Новосибирской области, в том числе из семей группы риска, организация их отдыха и занятости в каникулярное время; создание условий для занятия физкультурой и спорт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ом; формирование у детей нравственных ценностей, культуры здоровья, развитие социально активной личности ребенка.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Проведение реконструкции, капитального ремонта зданий, сооружений, помещений организаций отдыха детей и их оздоровления требованиям правил без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опасности в целях комфортного и безопасного отдыха детей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местные бюджеты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11540,0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11540,0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налоговые расходы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Итого по подпрограмме 1.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Семья и дети"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государственной программы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"Социальная поддержка в Новосибирской области"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14645480,1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18736371,6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13646859,3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6091611,6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местные бюджеты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11540,0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11540,0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налоговые расходы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gridSpan w:val="10"/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1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Задача 2 государственной программы: выполнение обязательств по социальной поддержке граждан, нуждающихся в особой защите государства, в том числе граждан пожилого возраста, инвалидов, малоимущих, а также граждан, находящихся в трудной жизненной ситуации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570"/>
        </w:trPr>
        <w:tc>
          <w:tcPr>
            <w:gridSpan w:val="10"/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1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одпрограмма 2 «Старшее поколение»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570"/>
        </w:trPr>
        <w:tc>
          <w:tcPr>
            <w:gridSpan w:val="10"/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1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Цель подпрограммы 2: формирование условий для реализации мероприятий, направленных на укрепление социальной защищенности граждан пожилого возраста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570"/>
        </w:trPr>
        <w:tc>
          <w:tcPr>
            <w:gridSpan w:val="10"/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1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Задача цели подпрограммы 2: выполнение обязательств по социальной поддерж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ке граждан пожилого возраста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163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Основное мероприятие 1.2.2.1.1.1.  Региональный проект «Старшее поколение»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159224,9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182335,2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МТиСР, МТиСР 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НКО,  организации, определяемые заказчиком в соответствии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законо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дательством Российской Федерации и Новосибирской области 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Организация занятий оздоровительной физкультурой граждан пожилого возраста на базе организаций социального обслуживания, пропаганда здорового образа жизни граждан старшего поколения, улучшение соци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ально-экономического положения и качества жизни граждан старшего поколения, обеспечение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стационарозамещающими формами социального обслуживания граждан пожилого возраста и инвалидов, нуждающихся в стационарном социальном обслуживании.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Финансовая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поддержка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социально ориентированных общественных организаций, объединяющих различные категории граждан пожилого возраста.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Создание системы долговременного ухода за гражданами пожилого возраста и инвалидами на территории муниципальных районов, муниципальных округов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городских округов Новосибирской области 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163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334776,9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262142,1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местные бюджеты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7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2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налоговые расходы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6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Основное мероприятие 1.2.2.1.1.2.  Оказ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ание дополнительной поддержки гражданам  пожилого возраста, в том числе ветеранам труда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170411,6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36641,9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МТиСР, МТиСР во взаимодейств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ии с органами местного самоуправления муниципальных обр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азований Новосибирской области, государственные учреждения Новосибирской области, подведомственные МТиСР, НКО, организации, определяемые заказчиком в соответствии с законодательством Российской Федерации и Новосибирской области 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Обеспечение основания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реализации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права на меры социальной поддержки ветеранам труда Новосибирской области. Обеспечение оздоровительного отдыха активистов ветеранского движения.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Ежегодное чествование Героев Советского Союза, Героев Социалистического Труда, Героев России, полных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кавалеров орденов Славы и Трудовой Славы,  ветеранов войны и активистов ветеранского движения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142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2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местные бюджеты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2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2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налоговые расходы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Итого по подпрограмме 2. "Старшее поколение" государственной программы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Социальная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поддержка в Новосибирской области"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329636,5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218977,1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334776,9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262142,1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местные бюджеты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налоговые расходы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gridSpan w:val="10"/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1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Подпрограмма 3 «Доступная среда»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570"/>
        </w:trPr>
        <w:tc>
          <w:tcPr>
            <w:gridSpan w:val="10"/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1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Цель подпрограммы 3: повышение уровня обеспеченности инвалидов равными правами и возможностями с другими гражданами, а также толерантного отношения к ним в обществе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570"/>
        </w:trPr>
        <w:tc>
          <w:tcPr>
            <w:gridSpan w:val="10"/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1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Задача 1 цели подпрограммы 3: формирование условий для обеспечения беспрепятственного дост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упа инвалидов и других маломобильных групп населения к приоритетным для них услугам, в том числе оборудование (дооборудование) приоритетных объектов элементами доступности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123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Основное мероприятие 1.2.3.1.1.1. Обеспечение доступности услуг инвалидам и другим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маломобильным группам населения в приоритетных сферах жизнедеятельности, в том числе оборудование (дооборудование) приоритетных объектов элементами доступности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2696,9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2612,3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МТиСР, Минцифра НСО, государственные учреждения Новосибирской области, подведомственные МТиСР, организации, определяемые заказчиком в соответствии с законодательством Российской Федерации и Новосибирской области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Увеличение доли приоритетных объектов, в кот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орых обеспечен беспрепятственный доступ для инвалидов и маломобильных групп населения. Расширение функциональных возможностей единой информационной системы автоматизации процесса предоставления услуг в сфере социальной защиты и обслуживания граждан в Новос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ибирской области,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содержащей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в том числе сведения об инвалидах, оказанных им реабилитационных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абилитационных мероприятиях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123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1718,1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23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6091,3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23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местные бюджеты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23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51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налоговые расходы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gridSpan w:val="10"/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1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Задача 2 цели подпрограммы 3: формирование условий для развития системы комплексной реабилитации  инвалидов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Основное мероприятие 1.2.3.1.2.1.  Реализация комплекса мероприятий по обеспечению равного доступа инвалидов и маломобильных групп населения к реабилитационным услугам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11732,6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30016,6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МТиСР, МФКиС, МК, МТиСР во взаимодействии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НКО, организации, определяемые заказчиком в соответствии с законодательством Российской Федерации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Новосибирской области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Повышение качества оказываемых услуг и внедрение в практику работы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малозатратных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технологий. Привлечение инвалидов к участию  в мероприятиях по социально-средовой, социокультурной и иных направлений реабилитации. Обеспечение комфортн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ого пребывания инвалидов в реабилитационных учреждениях. Обучение (переобучение) специалистов, оказывающих реабилитационные или абилитационные услуги инвалидам в сфере культуры, социальной сфере и сфере физической культуры и спорта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1435,8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20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131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871,2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20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5779,6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20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5090,4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20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131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3088,8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20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местные бюджеты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20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20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налоговые расходы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Итого по подпрограмме 3. "Доступная среда" государственной программы Новосибирской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"Социальная поддержка в Новосибирской области"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18454,6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32628,9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20050,1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местные бюджеты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налоговые расходы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gridSpan w:val="10"/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1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Подпрограмма 4 «Адресная поддержка отдельных категорий граждан»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570"/>
        </w:trPr>
        <w:tc>
          <w:tcPr>
            <w:gridSpan w:val="10"/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1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Цель подпрограммы 4: улучшение социального положения отдельных категорий граждан, в том числе малоимущих, граждан, находящихся в трудной жизненной ситуации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570"/>
        </w:trPr>
        <w:tc>
          <w:tcPr>
            <w:gridSpan w:val="10"/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1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Задача цели подпрограммы 4: обеспечение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мер социальной поддержки отдельных категорий граждан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 прио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ритетом адресности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5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Основное мероприятие 1.2.4.1.1.1. Организация своевременного и в полном объеме предоставления государственных социальных гарантий и мер социальной поддержки населения отдельным категориям граждан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11287293,5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11350312,8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МТиСР, МТиСР во взаимодействии с органами местного самоуправления муниципальных образований Новосибирской области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Социальная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поддержка, улучшение социального положения и повышение уровня материального обеспечения,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т.ч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малоимущих граждан, проживающих на территории Новосибирской области 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5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4326793,4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5636191,4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7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местные бюджеты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72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7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налоговые расходы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Основное мероприятие  1.2.4.1.1.2. Оказание адресной помощи отдельным категориям граждан по различным направлениям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253709,9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286120,2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МТиСР, НКО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Оказание социальной поддержки малоимущим гражданам и гражданам, оказавшимся в трудной жизненной ситуации, улучшение материального положения указанных категорий граждан 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5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696354,6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778621,6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местные бюджеты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налоговые расходы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Итого по подпрограмме 4.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Адресная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поддержка отдельных категорий граждан" государственной программы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Социальная поддержка в Новосибирской области"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11541003,4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11636433,0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5023148,0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6414813,0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местные бюджеты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9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налоговые расходы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4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Итого по государственной программе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областной бюджет, в том числе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31546453,3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36581818,2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5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2447865,8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2648973,2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2564012,9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3007045,1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21800,0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1613707,2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1413043,1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75859,6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57811,7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53243,2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7418743,2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9101922,4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4027495,3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6017469,9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677162,1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1064255,2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05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82228,7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119779,6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750283,9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1188435,9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159224,9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182335,2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170411,6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36641,9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2696,9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2612,3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1435,8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131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871,2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1718,1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11732,6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30016,6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11287293,5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11350312,8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253709,9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286120,2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4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федеральный бюджет, в том числе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19024834,3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12768566,7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5452184,7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1842911,1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16365,7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12843,4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7899489,5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3938115,2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278549,4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297463,1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05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270,0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278,8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334776,9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262142,1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6091,3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5779,6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5090,4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131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3088,8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4326793,4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5636191,4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696354,6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778621,6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местные бюджеты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11540,0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11540,0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1030665,4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1104986,9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налоговые расходы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105415,0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249018,0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jc w:val="center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Применяемые сокращения: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Минцифра НСО –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цифрового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и связи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 – министерство культуры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МС – министерство строительства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МТиСР – министерство труда и социального развития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МФКиС – министерство физической культуры и спорта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НКО – некоммерческая организация.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center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56106941"/>
      <w:docPartObj>
        <w:docPartGallery w:val="Page Numbers (Top of Page)"/>
        <w:docPartUnique w:val="true"/>
      </w:docPartObj>
      <w:rPr/>
    </w:sdtPr>
    <w:sdtContent>
      <w:p>
        <w:pPr>
          <w:pStyle w:val="856"/>
          <w:jc w:val="center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</w:rPr>
          <w:t xml:space="preserve">4</w:t>
        </w:r>
        <w:r>
          <w:rPr>
            <w:rFonts w:ascii="Times New Roman" w:hAnsi="Times New Roman" w:cs="Times New Roman"/>
            <w:sz w:val="20"/>
          </w:rPr>
          <w:fldChar w:fldCharType="end"/>
        </w:r>
        <w:r>
          <w:rPr>
            <w:rFonts w:ascii="Times New Roman" w:hAnsi="Times New Roman" w:cs="Times New Roman"/>
            <w:sz w:val="20"/>
          </w:rPr>
        </w:r>
      </w:p>
    </w:sdtContent>
  </w:sdt>
  <w:p>
    <w:pPr>
      <w:pStyle w:val="8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7"/>
    <w:link w:val="701"/>
    <w:uiPriority w:val="10"/>
    <w:rPr>
      <w:sz w:val="48"/>
      <w:szCs w:val="48"/>
    </w:rPr>
  </w:style>
  <w:style w:type="character" w:styleId="37">
    <w:name w:val="Subtitle Char"/>
    <w:basedOn w:val="687"/>
    <w:link w:val="703"/>
    <w:uiPriority w:val="11"/>
    <w:rPr>
      <w:sz w:val="24"/>
      <w:szCs w:val="24"/>
    </w:rPr>
  </w:style>
  <w:style w:type="character" w:styleId="39">
    <w:name w:val="Quote Char"/>
    <w:link w:val="705"/>
    <w:uiPriority w:val="29"/>
    <w:rPr>
      <w:i/>
    </w:rPr>
  </w:style>
  <w:style w:type="character" w:styleId="41">
    <w:name w:val="Intense Quote Char"/>
    <w:link w:val="707"/>
    <w:uiPriority w:val="30"/>
    <w:rPr>
      <w:i/>
    </w:rPr>
  </w:style>
  <w:style w:type="character" w:styleId="176">
    <w:name w:val="Footnote Text Char"/>
    <w:link w:val="838"/>
    <w:uiPriority w:val="99"/>
    <w:rPr>
      <w:sz w:val="18"/>
    </w:rPr>
  </w:style>
  <w:style w:type="character" w:styleId="179">
    <w:name w:val="Endnote Text Char"/>
    <w:link w:val="841"/>
    <w:uiPriority w:val="99"/>
    <w:rPr>
      <w:sz w:val="20"/>
    </w:rPr>
  </w:style>
  <w:style w:type="paragraph" w:styleId="677" w:default="1">
    <w:name w:val="Normal"/>
    <w:qFormat/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after="0" w:line="240" w:lineRule="auto"/>
    </w:p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Название Знак"/>
    <w:basedOn w:val="687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basedOn w:val="687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character" w:styleId="709" w:customStyle="1">
    <w:name w:val="Header Char"/>
    <w:basedOn w:val="687"/>
    <w:uiPriority w:val="99"/>
  </w:style>
  <w:style w:type="character" w:styleId="710" w:customStyle="1">
    <w:name w:val="Footer Char"/>
    <w:basedOn w:val="687"/>
    <w:uiPriority w:val="99"/>
  </w:style>
  <w:style w:type="paragraph" w:styleId="711">
    <w:name w:val="Caption"/>
    <w:basedOn w:val="677"/>
    <w:next w:val="67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2" w:customStyle="1">
    <w:name w:val="Caption Char"/>
    <w:uiPriority w:val="99"/>
  </w:style>
  <w:style w:type="table" w:styleId="713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4" w:customStyle="1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 w:customStyle="1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 w:customStyle="1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2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3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4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6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7" w:customStyle="1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6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7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8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9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2" w:customStyle="1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5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7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9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0" w:customStyle="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3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4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5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6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7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8">
    <w:name w:val="footnote text"/>
    <w:basedOn w:val="677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basedOn w:val="687"/>
    <w:uiPriority w:val="99"/>
    <w:unhideWhenUsed/>
    <w:rPr>
      <w:vertAlign w:val="superscript"/>
    </w:rPr>
  </w:style>
  <w:style w:type="paragraph" w:styleId="841">
    <w:name w:val="endnote text"/>
    <w:basedOn w:val="677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basedOn w:val="687"/>
    <w:uiPriority w:val="99"/>
    <w:semiHidden/>
    <w:unhideWhenUsed/>
    <w:rPr>
      <w:vertAlign w:val="superscript"/>
    </w:rPr>
  </w:style>
  <w:style w:type="paragraph" w:styleId="844">
    <w:name w:val="toc 1"/>
    <w:basedOn w:val="677"/>
    <w:next w:val="677"/>
    <w:uiPriority w:val="39"/>
    <w:unhideWhenUsed/>
    <w:pPr>
      <w:spacing w:after="57"/>
    </w:pPr>
  </w:style>
  <w:style w:type="paragraph" w:styleId="845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6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7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48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49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0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1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2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77"/>
    <w:next w:val="677"/>
    <w:uiPriority w:val="99"/>
    <w:unhideWhenUsed/>
    <w:pPr>
      <w:spacing w:after="0"/>
    </w:pPr>
  </w:style>
  <w:style w:type="table" w:styleId="855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6">
    <w:name w:val="Header"/>
    <w:basedOn w:val="677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687"/>
    <w:link w:val="856"/>
    <w:uiPriority w:val="99"/>
  </w:style>
  <w:style w:type="paragraph" w:styleId="858">
    <w:name w:val="Footer"/>
    <w:basedOn w:val="677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687"/>
    <w:link w:val="858"/>
    <w:uiPriority w:val="99"/>
  </w:style>
  <w:style w:type="character" w:styleId="860">
    <w:name w:val="Hyperlink"/>
    <w:basedOn w:val="687"/>
    <w:uiPriority w:val="99"/>
    <w:semiHidden/>
    <w:unhideWhenUsed/>
    <w:rPr>
      <w:color w:val="0000ff"/>
      <w:u w:val="single"/>
    </w:rPr>
  </w:style>
  <w:style w:type="character" w:styleId="861">
    <w:name w:val="FollowedHyperlink"/>
    <w:basedOn w:val="687"/>
    <w:uiPriority w:val="99"/>
    <w:semiHidden/>
    <w:unhideWhenUsed/>
    <w:rPr>
      <w:color w:val="800080"/>
      <w:u w:val="single"/>
    </w:rPr>
  </w:style>
  <w:style w:type="paragraph" w:styleId="862" w:customStyle="1">
    <w:name w:val="font5"/>
    <w:basedOn w:val="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3" w:customStyle="1">
    <w:name w:val="font6"/>
    <w:basedOn w:val="677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ru-RU"/>
    </w:rPr>
  </w:style>
  <w:style w:type="paragraph" w:styleId="864" w:customStyle="1">
    <w:name w:val="font7"/>
    <w:basedOn w:val="677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ru-RU"/>
    </w:rPr>
  </w:style>
  <w:style w:type="paragraph" w:styleId="865" w:customStyle="1">
    <w:name w:val="xl66"/>
    <w:basedOn w:val="67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66" w:customStyle="1">
    <w:name w:val="xl67"/>
    <w:basedOn w:val="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67" w:customStyle="1">
    <w:name w:val="xl68"/>
    <w:basedOn w:val="67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8" w:customStyle="1">
    <w:name w:val="xl69"/>
    <w:basedOn w:val="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9" w:customStyle="1">
    <w:name w:val="xl70"/>
    <w:basedOn w:val="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70" w:customStyle="1">
    <w:name w:val="xl71"/>
    <w:basedOn w:val="67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1" w:customStyle="1">
    <w:name w:val="xl72"/>
    <w:basedOn w:val="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72" w:customStyle="1">
    <w:name w:val="xl73"/>
    <w:basedOn w:val="67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3" w:customStyle="1">
    <w:name w:val="xl74"/>
    <w:basedOn w:val="67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4" w:customStyle="1">
    <w:name w:val="xl75"/>
    <w:basedOn w:val="67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5" w:customStyle="1">
    <w:name w:val="xl76"/>
    <w:basedOn w:val="67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76" w:customStyle="1">
    <w:name w:val="xl77"/>
    <w:basedOn w:val="67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77" w:customStyle="1">
    <w:name w:val="xl78"/>
    <w:basedOn w:val="67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78" w:customStyle="1">
    <w:name w:val="xl79"/>
    <w:basedOn w:val="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9" w:customStyle="1">
    <w:name w:val="xl80"/>
    <w:basedOn w:val="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0" w:customStyle="1">
    <w:name w:val="xl81"/>
    <w:basedOn w:val="67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1" w:customStyle="1">
    <w:name w:val="xl82"/>
    <w:basedOn w:val="67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2" w:customStyle="1">
    <w:name w:val="xl83"/>
    <w:basedOn w:val="67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3" w:customStyle="1">
    <w:name w:val="xl84"/>
    <w:basedOn w:val="67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4" w:customStyle="1">
    <w:name w:val="xl85"/>
    <w:basedOn w:val="67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5" w:customStyle="1">
    <w:name w:val="xl86"/>
    <w:basedOn w:val="67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6" w:customStyle="1">
    <w:name w:val="xl87"/>
    <w:basedOn w:val="67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7" w:customStyle="1">
    <w:name w:val="xl88"/>
    <w:basedOn w:val="67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8" w:customStyle="1">
    <w:name w:val="xl89"/>
    <w:basedOn w:val="677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9" w:customStyle="1">
    <w:name w:val="xl90"/>
    <w:basedOn w:val="677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0" w:customStyle="1">
    <w:name w:val="xl91"/>
    <w:basedOn w:val="67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1" w:customStyle="1">
    <w:name w:val="xl92"/>
    <w:basedOn w:val="67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92" w:customStyle="1">
    <w:name w:val="xl93"/>
    <w:basedOn w:val="67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3" w:customStyle="1">
    <w:name w:val="xl94"/>
    <w:basedOn w:val="677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4" w:customStyle="1">
    <w:name w:val="xl95"/>
    <w:basedOn w:val="677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5" w:customStyle="1">
    <w:name w:val="xl96"/>
    <w:basedOn w:val="67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6" w:customStyle="1">
    <w:name w:val="xl97"/>
    <w:basedOn w:val="67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97" w:customStyle="1">
    <w:name w:val="xl98"/>
    <w:basedOn w:val="67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8" w:customStyle="1">
    <w:name w:val="xl99"/>
    <w:basedOn w:val="677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9" w:customStyle="1">
    <w:name w:val="xl100"/>
    <w:basedOn w:val="677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00" w:customStyle="1">
    <w:name w:val="xl101"/>
    <w:basedOn w:val="67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01" w:customStyle="1">
    <w:name w:val="xl102"/>
    <w:basedOn w:val="67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02" w:customStyle="1">
    <w:name w:val="xl103"/>
    <w:basedOn w:val="67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03" w:customStyle="1">
    <w:name w:val="xl104"/>
    <w:basedOn w:val="677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04" w:customStyle="1">
    <w:name w:val="xl105"/>
    <w:basedOn w:val="677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05">
    <w:name w:val="Balloon Text"/>
    <w:basedOn w:val="677"/>
    <w:link w:val="9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6" w:customStyle="1">
    <w:name w:val="Текст выноски Знак"/>
    <w:basedOn w:val="687"/>
    <w:link w:val="905"/>
    <w:uiPriority w:val="99"/>
    <w:semiHidden/>
    <w:rPr>
      <w:rFonts w:ascii="Tahoma" w:hAnsi="Tahoma" w:cs="Tahoma"/>
      <w:sz w:val="16"/>
      <w:szCs w:val="16"/>
    </w:rPr>
  </w:style>
  <w:style w:type="paragraph" w:styleId="907" w:customStyle="1">
    <w:name w:val="xl106"/>
    <w:basedOn w:val="67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08" w:customStyle="1">
    <w:name w:val="xl107"/>
    <w:basedOn w:val="67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09" w:customStyle="1">
    <w:name w:val="xl108"/>
    <w:basedOn w:val="677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0" w:customStyle="1">
    <w:name w:val="xl109"/>
    <w:basedOn w:val="677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1" w:customStyle="1">
    <w:name w:val="xl110"/>
    <w:basedOn w:val="677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2" w:customStyle="1">
    <w:name w:val="xl111"/>
    <w:basedOn w:val="67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3" w:customStyle="1">
    <w:name w:val="xl112"/>
    <w:basedOn w:val="677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4" w:customStyle="1">
    <w:name w:val="xl113"/>
    <w:basedOn w:val="677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5" w:customStyle="1">
    <w:name w:val="xl114"/>
    <w:basedOn w:val="67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916" w:customStyle="1">
    <w:name w:val="Нет списка1"/>
    <w:next w:val="689"/>
    <w:uiPriority w:val="99"/>
    <w:semiHidden/>
    <w:unhideWhenUsed/>
  </w:style>
  <w:style w:type="paragraph" w:styleId="917" w:customStyle="1">
    <w:name w:val="ConsPlusNormal"/>
    <w:link w:val="918"/>
    <w:pPr>
      <w:spacing w:after="0" w:line="240" w:lineRule="auto"/>
    </w:pPr>
    <w:rPr>
      <w:rFonts w:ascii="Calibri" w:hAnsi="Calibri" w:eastAsia="Times New Roman" w:cs="Calibri"/>
      <w:lang w:eastAsia="ru-RU"/>
    </w:rPr>
  </w:style>
  <w:style w:type="character" w:styleId="918" w:customStyle="1">
    <w:name w:val="ConsPlusNormal Знак"/>
    <w:link w:val="917"/>
    <w:rPr>
      <w:rFonts w:ascii="Calibri" w:hAnsi="Calibri" w:eastAsia="Times New Roman" w:cs="Calibri"/>
      <w:lang w:eastAsia="ru-RU"/>
    </w:rPr>
  </w:style>
  <w:style w:type="paragraph" w:styleId="919" w:customStyle="1">
    <w:name w:val="xl65"/>
    <w:basedOn w:val="67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20" w:customStyle="1">
    <w:name w:val="font8"/>
    <w:basedOn w:val="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ff0000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Елена Юрьевна</dc:creator>
  <cp:keywords/>
  <dc:description/>
  <cp:revision>43</cp:revision>
  <dcterms:created xsi:type="dcterms:W3CDTF">2021-09-15T08:16:00Z</dcterms:created>
  <dcterms:modified xsi:type="dcterms:W3CDTF">2023-10-23T06:12:03Z</dcterms:modified>
</cp:coreProperties>
</file>