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19"/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sz w:val="2"/>
          <w:szCs w:val="2"/>
          <w:lang w:val="ru-RU" w:bidi="ru-RU"/>
        </w:rPr>
      </w:pPr>
      <w:r>
        <w:rPr>
          <w:rFonts w:ascii="Calibri" w:hAnsi="Calibri" w:eastAsia="Calibri" w:cs="Calibri"/>
          <w:sz w:val="2"/>
          <w:szCs w:val="2"/>
          <w:lang w:val="ru-RU" w:bidi="ru-RU"/>
        </w:rPr>
        <w:t xml:space="preserve">нсо</w:t>
      </w:r>
      <w:r>
        <w:rPr>
          <w:rFonts w:ascii="Calibri" w:hAnsi="Calibri" w:eastAsia="Calibri" w:cs="Calibri"/>
          <w:sz w:val="2"/>
          <w:szCs w:val="2"/>
          <w:lang w:val="ru-RU" w:bidi="ru-RU"/>
        </w:rPr>
        <w:tab/>
      </w:r>
    </w:p>
    <w:p>
      <w:pPr>
        <w:spacing w:before="0" w:after="0" w:line="240" w:lineRule="auto"/>
        <w:ind w:left="5954" w:right="0" w:hanging="5954"/>
        <w:jc w:val="righ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ПРИЛОЖЕНИЕ №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1</w:t>
      </w:r>
    </w:p>
    <w:p>
      <w:pPr>
        <w:spacing w:before="0" w:after="0" w:line="240" w:lineRule="auto"/>
        <w:ind w:left="5954" w:right="0" w:hanging="5954"/>
        <w:jc w:val="righ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к постановлению Правительства </w:t>
      </w:r>
    </w:p>
    <w:p>
      <w:pPr>
        <w:spacing w:before="0" w:after="0" w:line="240" w:lineRule="auto"/>
        <w:ind w:left="5954" w:right="0" w:hanging="5954"/>
        <w:jc w:val="righ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Новосибирской области</w:t>
      </w:r>
    </w:p>
    <w:p>
      <w:pPr>
        <w:tabs>
          <w:tab w:val="left" w:pos="10490"/>
        </w:tabs>
        <w:spacing w:before="0" w:after="0" w:line="240" w:lineRule="auto"/>
        <w:ind w:left="5954" w:right="0" w:hanging="5954"/>
        <w:jc w:val="righ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tabs>
          <w:tab w:val="left" w:pos="10490"/>
        </w:tabs>
        <w:spacing w:before="0" w:after="0" w:line="240" w:lineRule="auto"/>
        <w:ind w:left="5954" w:right="0" w:hanging="5954"/>
        <w:jc w:val="righ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tabs>
          <w:tab w:val="left" w:pos="10490"/>
        </w:tabs>
        <w:spacing w:before="0" w:after="0" w:line="240" w:lineRule="auto"/>
        <w:ind w:left="5954" w:right="0" w:hanging="5954"/>
        <w:jc w:val="righ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«ПРИЛОЖЕНИЕ №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1</w:t>
      </w:r>
    </w:p>
    <w:p>
      <w:pPr>
        <w:pStyle w:val="Style_19"/>
        <w:tabs>
          <w:tab w:val="left" w:pos="10490"/>
        </w:tabs>
        <w:spacing w:before="0" w:after="0" w:line="240" w:lineRule="auto"/>
        <w:ind w:left="5954" w:right="0" w:hanging="5954"/>
        <w:jc w:val="righ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к государственной программе </w:t>
      </w:r>
    </w:p>
    <w:p>
      <w:pPr>
        <w:pStyle w:val="Style_19"/>
        <w:tabs>
          <w:tab w:val="left" w:pos="10490"/>
        </w:tabs>
        <w:spacing w:before="0" w:after="0" w:line="240" w:lineRule="auto"/>
        <w:ind w:left="5954" w:right="0" w:hanging="5954"/>
        <w:jc w:val="righ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Новосибирской области</w:t>
      </w:r>
    </w:p>
    <w:p>
      <w:pPr>
        <w:pStyle w:val="Style_19"/>
        <w:tabs>
          <w:tab w:val="left" w:pos="10490"/>
        </w:tabs>
        <w:spacing w:before="0" w:after="0" w:line="240" w:lineRule="auto"/>
        <w:ind w:left="5954" w:right="0" w:hanging="5954"/>
        <w:jc w:val="righ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«Социальная поддержка в</w:t>
      </w:r>
    </w:p>
    <w:p>
      <w:pPr>
        <w:pStyle w:val="Style_19"/>
        <w:tabs>
          <w:tab w:val="left" w:pos="10490"/>
        </w:tabs>
        <w:spacing w:before="0" w:after="0" w:line="240" w:lineRule="auto"/>
        <w:ind w:left="5954" w:right="0" w:hanging="5954"/>
        <w:jc w:val="righ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Новосибирской области»</w:t>
      </w:r>
    </w:p>
    <w:p>
      <w:pPr>
        <w:pStyle w:val="Style_19"/>
        <w:tabs>
          <w:tab w:val="left" w:pos="10490"/>
        </w:tabs>
        <w:spacing w:before="0" w:after="0" w:line="240" w:lineRule="auto"/>
        <w:ind w:left="1049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9"/>
        <w:tabs>
          <w:tab w:val="left" w:pos="10490"/>
        </w:tabs>
        <w:spacing w:before="0" w:after="0" w:line="240" w:lineRule="auto"/>
        <w:ind w:left="1049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9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ЦЕЛИ, ЗАДАЧИ И ЦЕЛЕВЫЕ ИНДИКАТОРЫ</w:t>
      </w:r>
    </w:p>
    <w:p>
      <w:pPr>
        <w:pStyle w:val="Style_19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государственной программы Новосибирской области</w:t>
      </w:r>
    </w:p>
    <w:p>
      <w:pPr>
        <w:pStyle w:val="Style_19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«Социальная поддержка в Новосибирской области»</w:t>
      </w:r>
    </w:p>
    <w:p>
      <w:pPr>
        <w:pStyle w:val="Style_19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9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tbl>
      <w:tblPr>
        <w:tblStyle w:val="Style_11"/>
        <w:tblW w:w="100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85"/>
        <w:gridCol w:w="2835"/>
        <w:gridCol w:w="850"/>
        <w:gridCol w:w="992"/>
        <w:gridCol w:w="993"/>
        <w:gridCol w:w="992"/>
        <w:gridCol w:w="1418"/>
      </w:tblGrid>
      <w:tr>
        <w:trPr>
          <w:trHeight w:val="20"/>
        </w:trPr>
        <w:tc>
          <w:tcPr>
            <w:tcW w:w="198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Цель/задачи, требующие решения для достижения цели</w:t>
            </w:r>
          </w:p>
        </w:tc>
        <w:tc>
          <w:tcPr>
            <w:tcW w:w="283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Наименование</w:t>
            </w:r>
          </w:p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целевого индикатора</w:t>
            </w:r>
          </w:p>
        </w:tc>
        <w:tc>
          <w:tcPr>
            <w:tcW w:w="850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Ед.</w:t>
            </w:r>
          </w:p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измерения</w:t>
            </w:r>
          </w:p>
        </w:tc>
        <w:tc>
          <w:tcPr>
            <w:tcW w:w="2977" w:type="dxa"/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Значение целевого индикатора</w:t>
            </w:r>
          </w:p>
        </w:tc>
        <w:tc>
          <w:tcPr>
            <w:tcW w:w="141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Примечание</w:t>
            </w:r>
          </w:p>
        </w:tc>
      </w:tr>
      <w:tr>
        <w:trPr>
          <w:trHeight w:val="20"/>
        </w:trPr>
        <w:tc>
          <w:tcPr>
            <w:tcW w:w="198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977" w:type="dxa"/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том числе по годам</w:t>
            </w:r>
          </w:p>
        </w:tc>
        <w:tc>
          <w:tcPr>
            <w:tcW w:w="141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198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2022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2023</w:t>
            </w:r>
          </w:p>
        </w:tc>
        <w:tc>
          <w:tcPr>
            <w:tcW w:w="141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198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1</w:t>
            </w: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2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3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4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5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en-US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6</w:t>
            </w:r>
          </w:p>
        </w:tc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7</w:t>
            </w:r>
          </w:p>
        </w:tc>
      </w:tr>
      <w:tr>
        <w:trPr>
          <w:trHeight w:val="20"/>
        </w:trPr>
        <w:tc>
          <w:tcPr>
            <w:tcW w:w="198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Цель государственной программы. Улучшение качества жизни получателей мер социальной поддержки, повышение доступности и качества социального обслуживания населения Новосибирской области</w:t>
            </w: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1.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Степень обеспеченности выплатами граждан, имеющих право на меры социальной поддержки, из числа обратившихся за предоставлением мер социальной поддержки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198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2.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населения**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198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Удельный вес учреждений социального обслуживания, основанных на иных формах собственности, в общем количестве учреждений социального обслуживания всех форм собственности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30,0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30,0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30,0</w:t>
            </w:r>
          </w:p>
        </w:tc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198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Количество граждан, воспользовавшихся налоговой льготой по транспортному налогу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человек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128 557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863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220328</w:t>
            </w:r>
          </w:p>
        </w:tc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3036"/>
        </w:trPr>
        <w:tc>
          <w:tcPr>
            <w:tcW w:w="198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Задача 1 государственной программы. Создание благоприятных условий для улучшения положения детей и семей с детьми</w:t>
            </w: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trike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5.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Доля детей школьного возраста, ежегодно охваченных всеми видами отдыха и оздоровления, в общей численности детей школьного возраста Новосибирской области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trike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trike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35,8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tabs>
                <w:tab w:val="left" w:pos="426"/>
                <w:tab w:val="left" w:pos="1134"/>
              </w:tabs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45,06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tabs>
                <w:tab w:val="left" w:pos="426"/>
                <w:tab w:val="left" w:pos="1134"/>
              </w:tabs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trike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43,76</w:t>
            </w:r>
          </w:p>
        </w:tc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trike/>
                <w:sz w:val="24"/>
                <w:szCs w:val="24"/>
                <w:lang w:val="ru-RU" w:bidi="en-US"/>
              </w:rPr>
            </w:pPr>
          </w:p>
        </w:tc>
      </w:tr>
      <w:tr>
        <w:trPr>
          <w:trHeight w:val="3036"/>
        </w:trPr>
        <w:tc>
          <w:tcPr>
            <w:tcW w:w="198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6.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Доля семей с детьми, испытывающих трудности в социальной адаптации, в общей численности семей с детьми, состоящих на учете в органах социальной защиты населения Новосибирской области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24,0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23,5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23,0</w:t>
            </w:r>
          </w:p>
        </w:tc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en-US"/>
              </w:rPr>
            </w:pPr>
          </w:p>
        </w:tc>
      </w:tr>
      <w:tr>
        <w:trPr>
          <w:trHeight w:val="3036"/>
        </w:trPr>
        <w:tc>
          <w:tcPr>
            <w:tcW w:w="198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7.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Доля семей со среднедушевым доходом, не превышающим величину прожиточного минимума, установленную в Новосибирской области, получающих ежемесячную денежную выплату, назначаемую в случае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рождения третьего ребенка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или последующих детей до достижения ребенком возраста трех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лет, в общем количестве семей, обратившихся за данной выплатой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trike/>
                <w:sz w:val="24"/>
                <w:szCs w:val="24"/>
                <w:lang w:val="ru-RU" w:bidi="en-US"/>
              </w:rPr>
            </w:pPr>
          </w:p>
        </w:tc>
      </w:tr>
      <w:tr>
        <w:trPr>
          <w:trHeight w:val="20"/>
        </w:trPr>
        <w:tc>
          <w:tcPr>
            <w:tcW w:w="198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8.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Доля граждан, обеспеченных жилыми помещениями в соответствии с Федеральным законом от 21.12.1996 № 159-ФЗ «О дополнительных гарантиях по социальной поддержке детей-сирот и детей, оставшихся без попечения родителей», от общего числа лиц данной категории, нуждающихся в жилых помещениях, право на обеспечение жилыми помещениями у которых уже возникло и не реализовано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14,2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15,6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22,7</w:t>
            </w:r>
          </w:p>
        </w:tc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198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Задача 2 государственной программы. Выполнение обязательств по социальной поддержке граждан, нуждающихся в особой защите государства, в том числе граждан пожилого возраста, инвалидов, малоимущих, а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также граждан, находящихся в трудной жизненной ситуации</w:t>
            </w: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9.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Соотношение средней заработной платы социальных работников и средней заработной платы в Новосибирской области*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102,0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198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10.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Средняя численность получателей услуг на одного социального работника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человек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12,2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10,5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10,5</w:t>
            </w:r>
          </w:p>
        </w:tc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/>
                <w:bCs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10065" w:type="dxa"/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Подпрограмма 1. Семья и дети</w:t>
            </w:r>
          </w:p>
        </w:tc>
      </w:tr>
      <w:tr>
        <w:trPr>
          <w:trHeight w:val="20"/>
        </w:trPr>
        <w:tc>
          <w:tcPr>
            <w:tcW w:w="198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Цель подпрограммы. Улучшение качества жизни семей с детьми, детей, в том числе детей-инвалидов, детей-сирот и детей, оставшихся без попечения родителей</w:t>
            </w: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484"/>
        </w:trPr>
        <w:tc>
          <w:tcPr>
            <w:tcW w:w="198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Задача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1 подпрограммы.</w:t>
            </w: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Развитие системы государственной поддержки семей с детьми, в том числе детей-инвалидов, детей-сирот и детей, оставшихся без попечения родителей, социального обслуживания и социального сопровождения детей и семей с детьми</w:t>
            </w: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11.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Численность семей с детьми, испытывающими трудности в социальной адаптации, охваченных социальным обслуживанием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семья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2 206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2 201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2 196</w:t>
            </w:r>
          </w:p>
        </w:tc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3036"/>
        </w:trPr>
        <w:tc>
          <w:tcPr>
            <w:tcW w:w="198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12.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Доля детей-инвалидов, получивших социальные и реабилитационные услуги, в общем количестве детей-инвалидов, проживающих в Новосибирской области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87,3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87,35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87,4</w:t>
            </w:r>
          </w:p>
        </w:tc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198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Число семей с тремя и более детьми, которые в отчетном году получат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получатель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20 862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20 862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12 612</w:t>
            </w:r>
          </w:p>
        </w:tc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198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Число детей в возрасте от 3 до 7 лет включительно, в отношении которых в отчетном году произведена ежемесячная выплата в целях повышения доходов семей с детьми**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человек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98 112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91 454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32 704</w:t>
            </w:r>
          </w:p>
        </w:tc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198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детей в возрасте от 3 до 7 лет включительно, в отношении которых в отчетном году произведена ежемесячная выплата, в общей численности детей этого возраста**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63,57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49,9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19,6</w:t>
            </w:r>
          </w:p>
        </w:tc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198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детей-сирот и детей, оставшихся без попечения родителей, устроенных в семьи, в общей численности детей этой категории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92,6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92,40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93,1</w:t>
            </w:r>
          </w:p>
        </w:tc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en-US"/>
              </w:rPr>
              <w:t xml:space="preserve"> </w:t>
            </w:r>
          </w:p>
        </w:tc>
      </w:tr>
      <w:tr>
        <w:trPr>
          <w:trHeight w:val="20"/>
        </w:trPr>
        <w:tc>
          <w:tcPr>
            <w:tcW w:w="198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Численность граждан, не обеспеченных жилыми помещениями в соответствии с Федеральным законом 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21.12.1996 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ФЗ «О дополнительных гарантиях по социальной поддержке детей-сирот и детей, оставшихся без попечения родителей», на конец календарного года 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человек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5 249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5 500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5 298</w:t>
            </w:r>
          </w:p>
        </w:tc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198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val="ru-RU" w:bidi="ru-RU"/>
              </w:rPr>
              <w:t xml:space="preserve">специализированного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жилищного фонда по договорам найма специализированных жилых помещений в отчетном году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человек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507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817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1 224</w:t>
            </w:r>
          </w:p>
        </w:tc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198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val="ru-RU" w:bidi="ru-RU"/>
              </w:rPr>
              <w:t xml:space="preserve">специализированного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жилищного фонда по договорам найма специализированных жилых помещений за счет средств субсидии из федерального бюджета бюджету Новосибирской области (нарастающим итогом)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человек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1 766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1 966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2 100</w:t>
            </w:r>
          </w:p>
        </w:tc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198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20. Количество семей отдельных категорий граждан Российской Федерации, обеспеченных жильем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тыс. семей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0,2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0,323</w:t>
            </w:r>
          </w:p>
        </w:tc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Базовое значение – 2022 год</w:t>
            </w:r>
          </w:p>
        </w:tc>
      </w:tr>
      <w:tr>
        <w:trPr>
          <w:trHeight w:val="20"/>
        </w:trPr>
        <w:tc>
          <w:tcPr>
            <w:tcW w:w="198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21.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Доля несовершеннолетних лиц, потребляющих наркотические средства или психотропные вещества без назначения врача, а также страдающих алкогольной зависимостью, прошедших курс реабилитации и направленных на реабилитацию повторно, от общего количества </w:t>
            </w:r>
            <w:r>
              <w:rPr>
                <w:rFonts w:ascii="Calibri" w:hAnsi="Calibri" w:eastAsia="Calibri" w:cs="Calibri"/>
                <w:spacing w:val="-6"/>
                <w:sz w:val="24"/>
                <w:szCs w:val="24"/>
                <w:lang w:val="ru-RU" w:bidi="ru-RU"/>
              </w:rPr>
              <w:t xml:space="preserve">несовершеннолетних,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 прошедших курс реабилитации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0,0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3,1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3,1</w:t>
            </w:r>
          </w:p>
        </w:tc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198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Задача 2 подпрограммы. Обеспечение потребности детей в отдыхе и оздоровлении</w:t>
            </w: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22.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Доля оздоровленных детей, находящихся в трудной жизненной ситуации, от численности детей в возрасте 7-17 лет, проживающих в Новосибирской области, находящихся в трудной жизненной ситуации, подлежащих оздоровлению, в текущем году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60,3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60,33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60,43</w:t>
            </w:r>
          </w:p>
        </w:tc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198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23.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Доля организаций отдыха детей и их оздоровления, в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которых проведены работы по реконструкции, капитальному и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текущему ремонту (ежегодно) 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44,4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39,4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31,8</w:t>
            </w:r>
          </w:p>
        </w:tc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/>
                <w:bCs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10065" w:type="dxa"/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Подпрограмма 2. Старшее поколение</w:t>
            </w:r>
          </w:p>
        </w:tc>
      </w:tr>
      <w:tr>
        <w:trPr>
          <w:trHeight w:val="20"/>
        </w:trPr>
        <w:tc>
          <w:tcPr>
            <w:tcW w:w="198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Цель подпрограммы. Формирование условий для реализации мероприятий, направленных на укрепление социальной защищенности граждан пожилого возраста</w:t>
            </w: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760"/>
        </w:trPr>
        <w:tc>
          <w:tcPr>
            <w:tcW w:w="198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30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Задача подпрограммы.</w:t>
            </w: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Выполнение обязательств по социальной поддержке граждан пожилого возраста</w:t>
            </w: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24.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Количество граждан пожилого возраста, вовлеченных в мероприятия по поддержанию их социальной активности и адаптации (ежегодно)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человек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45 720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45 720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45 720</w:t>
            </w:r>
          </w:p>
        </w:tc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/>
                <w:bCs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198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30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25.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Доля граждан пожилого возраста и инвалидов, обслуживаемых на дому, в общей численности граждан, состоящих на учете на получение надомного обслуживания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/>
                <w:bCs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198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30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граждан старше трудоспособного возраста и инвалидов, получающих услуги в рамках системы долговременного ухода, от общего числа граждан старше трудоспособного возраста и инвалидов, нуждающихся в долговременном уходе 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5,8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9,2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11,9</w:t>
            </w:r>
          </w:p>
        </w:tc>
        <w:tc>
          <w:tcPr>
            <w:tcW w:w="141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РП. Значения показателя на период 2022–2024 годов указаны в соответствии с паспортом регионального проекта «Старшее поколение»</w:t>
            </w:r>
          </w:p>
        </w:tc>
      </w:tr>
      <w:tr>
        <w:trPr>
          <w:trHeight w:val="20"/>
        </w:trPr>
        <w:tc>
          <w:tcPr>
            <w:tcW w:w="198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30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граждан старше трудоспособного возраста и инвалидов, получивших социальные услуги в организациях социального обслуживания, от общего числа граждан старше трудоспособного возраста и инвалидов 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12,8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12,8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14,51</w:t>
            </w:r>
          </w:p>
        </w:tc>
        <w:tc>
          <w:tcPr>
            <w:tcW w:w="141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10065" w:type="dxa"/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Подпрограмма 3. Доступная среда</w:t>
            </w:r>
          </w:p>
        </w:tc>
      </w:tr>
      <w:tr>
        <w:trPr>
          <w:trHeight w:val="20"/>
        </w:trPr>
        <w:tc>
          <w:tcPr>
            <w:tcW w:w="198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Цель подпрограммы. Повышение уровня обеспеченности инвалидов равными правами и возможностями с другими гражданами, а также толерантного отношения к ним в обществе</w:t>
            </w: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инвалидов, положительно оценивающих отношение населения к проблемам инвалидов, в общей численности опрошенных инвалидов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53,0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53,5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54,0</w:t>
            </w:r>
          </w:p>
        </w:tc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198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Задача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1 подпрограммы.</w:t>
            </w: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Формирование условий для обеспечения беспрепятственного доступа инвалидов и других маломобильных групп населения к приоритетным для них услугам, в том числе оборудование (дооборудование) приоритетных объектов элементами доступности</w:t>
            </w: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29.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Новосибирской области***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69,5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67,8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69,8</w:t>
            </w:r>
          </w:p>
        </w:tc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/>
                <w:bCs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198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30.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Доля приоритетных объектов, доступных для инвалидов и других маломобильных групп населения, в общем количестве приоритетных объектов в сфере социальной защиты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97,3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97,3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97,3</w:t>
            </w:r>
          </w:p>
        </w:tc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/>
                <w:bCs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198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Задача 2 подпрограммы. Формирование условий для развития системы комплексной реабилитации инвалидов</w:t>
            </w: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31.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Доля инвалидов, получивших услуги по комплексной реабилитации инвалидов, имеющих нарушения опорно-двигательного аппарата, в специализированных центрах, учреждениях, организациях****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78,8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en-US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79,8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55,06</w:t>
            </w:r>
          </w:p>
        </w:tc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/>
                <w:bCs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198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32. Доля инвалидов, в отношении которых осуществлялись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(взрослые)***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0,0</w:t>
            </w:r>
          </w:p>
        </w:tc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/>
                <w:bCs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198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33. Доля инвалидов, в отношении которых осуществлялись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(дети)***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0,0</w:t>
            </w:r>
          </w:p>
        </w:tc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/>
                <w:bCs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10065" w:type="dxa"/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Подпрограмма 4.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Адресная поддержка отдельных категорий граждан</w:t>
            </w:r>
          </w:p>
        </w:tc>
      </w:tr>
      <w:tr>
        <w:trPr>
          <w:trHeight w:val="20"/>
        </w:trPr>
        <w:tc>
          <w:tcPr>
            <w:tcW w:w="198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Цель подпрограммы. Улучшение социального положения отдельных категорий граждан, в том числе малоимущих, граждан, находящихся в трудной жизненной ситуации</w:t>
            </w: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198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Задача подпрограммы. Обеспечение мер социальной поддержки отдельных категорий граждан с приоритетом адресности</w:t>
            </w: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Объем просроченной задолженности по предоставлению социальных выплат отдельным категориям граждан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тыс. руб.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0,0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0,0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0,0</w:t>
            </w:r>
          </w:p>
        </w:tc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198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35.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Количество оказанной адресной социальной помощи малоимущим гражданам и гражданам, оказавшимся в трудной жизненной ситуации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выплата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17 307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14 187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12 532</w:t>
            </w:r>
          </w:p>
        </w:tc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198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граждан, охваченных государственной социальной помощью на основании социального контракта, в общей численности малоимущих граждан**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8,5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5,7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4,4</w:t>
            </w:r>
          </w:p>
        </w:tc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198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увеличился по окончании срока действия социального контракта в сравнении со среднедушевым доходом этих граждан (семьи) до заключения социального контракта, в общей численности граждан, охваченных государственной социальной помощью на основании социального контракта**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45,5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49,1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52,7</w:t>
            </w:r>
          </w:p>
        </w:tc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198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превысил величину прожиточного минимума, установленную в субъекте Российской Федерации, по окончании срока действия социального контракта в общей численности граждан, охваченных государственной социальной помощью на основании социального контракта** 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8,94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18,3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21,8</w:t>
            </w:r>
          </w:p>
        </w:tc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</w:p>
        </w:tc>
      </w:tr>
    </w:tbl>
    <w:p>
      <w:pPr>
        <w:pStyle w:val="Style_19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sz w:val="28"/>
          <w:szCs w:val="28"/>
          <w:lang w:val="ru-RU" w:bidi="ru-RU"/>
        </w:rPr>
      </w:pPr>
    </w:p>
    <w:p>
      <w:pPr>
        <w:pStyle w:val="Style_38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* Начиная с итогов 2015 года в качестве средней заработной платы в Новосибирской области используется показатель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деятельности), формируемый в соответствии с пунктом 3 постановления Правительства Российской Федерации от 11.07.2015 №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698 «Об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деятельности»;</w:t>
      </w:r>
    </w:p>
    <w:p>
      <w:pPr>
        <w:pStyle w:val="Style_38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** значение на 2023 год установлено в соответствии с соглашением о реализации на территории Новосибирской области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 «Социальная поддержка граждан» от 15.12.2022 №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2022-00875;</w:t>
      </w:r>
    </w:p>
    <w:p>
      <w:pPr>
        <w:pStyle w:val="Style_38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*** значения показателя на 2023 год указаны в соответствии с соглашением о реализации на территории Новосибирской области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 «Доступная среда» от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15.12.2022 №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2022-00728;</w:t>
      </w:r>
    </w:p>
    <w:p>
      <w:pPr>
        <w:pStyle w:val="Style_38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****с 01.01.2023 изменена методика расчета целевого индикатора. </w:t>
      </w:r>
    </w:p>
    <w:p>
      <w:pPr>
        <w:pStyle w:val="Style_19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9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Применяемое сокращение: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РП – региональный проект.</w:t>
      </w:r>
    </w:p>
    <w:p>
      <w:pPr>
        <w:pStyle w:val="Style_19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9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9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9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_________».</w:t>
      </w:r>
    </w:p>
    <w:sectPr>
      <w:headerReference w:type="default" r:id="rId9"/>
      <w:footnotePr>
        <w:pos w:val="pageBottom"/>
      </w:footnotePr>
      <w:endnotePr>
        <w:numFmt w:val="upperLetter"/>
      </w:endnotePr>
      <w:type w:val="nextPage"/>
      <w:pgSz w:w="11906" w:h="16838"/>
      <w:pgMar w:top="1134" w:right="567" w:bottom="1134" w:left="1418" w:header="709" w:footer="709" w:gutter="0"/>
      <w:cols w:num="1"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sz w:val="22"/>
          <w:szCs w:val="22"/>
          <w:lang w:val="ru-RU" w:bidi="ru-RU"/>
        </w:rPr>
      </w:pPr>
      <w:r>
        <w:rPr>
          <w:rFonts w:ascii="Calibri" w:hAnsi="Calibri" w:eastAsia="Calibri" w:cs="Calibri"/>
          <w:sz w:val="22"/>
          <w:szCs w:val="22"/>
          <w:lang w:val="ru-RU" w:bidi="ru-RU"/>
        </w:rPr>
        <w:separator/>
      </w:r>
    </w:p>
  </w:endnote>
  <w:endnote w:type="continuationSeparator" w:id="1"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sz w:val="22"/>
          <w:szCs w:val="22"/>
          <w:lang w:val="ru-RU" w:bidi="ru-RU"/>
        </w:rPr>
      </w:pPr>
      <w:r>
        <w:rPr>
          <w:rFonts w:ascii="Calibri" w:hAnsi="Calibri" w:eastAsia="Calibri" w:cs="Calibri"/>
          <w:sz w:val="22"/>
          <w:szCs w:val="22"/>
          <w:lang w:val="ru-RU" w:bidi="ru-RU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Calibri">
    <w:panose1 w:val="020F0502020204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sz w:val="22"/>
          <w:szCs w:val="22"/>
          <w:lang w:val="ru-RU" w:bidi="ru-RU"/>
        </w:rPr>
      </w:pPr>
      <w:r>
        <w:rPr>
          <w:rFonts w:ascii="Calibri" w:hAnsi="Calibri" w:eastAsia="Calibri" w:cs="Calibri"/>
          <w:sz w:val="22"/>
          <w:szCs w:val="22"/>
          <w:lang w:val="ru-RU" w:bidi="ru-RU"/>
        </w:rPr>
        <w:separator/>
      </w:r>
    </w:p>
  </w:footnote>
  <w:footnote w:type="continuationSeparator" w:id="1"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sz w:val="22"/>
          <w:szCs w:val="22"/>
          <w:lang w:val="ru-RU" w:bidi="ru-RU"/>
        </w:rPr>
      </w:pPr>
      <w:r>
        <w:rPr>
          <w:rFonts w:ascii="Calibri" w:hAnsi="Calibri" w:eastAsia="Calibri" w:cs="Calibri"/>
          <w:sz w:val="22"/>
          <w:szCs w:val="22"/>
          <w:lang w:val="ru-RU" w:bidi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17"/>
      <w:tabs>
        <w:tab w:val="center" w:pos="4536"/>
        <w:tab w:val="right" w:pos="9072"/>
      </w:tabs>
      <w:spacing w:before="0" w:after="0" w:line="240" w:lineRule="auto"/>
      <w:ind w:left="0" w:right="0" w:firstLine="0"/>
      <w:jc w:val="center"/>
      <w:rPr>
        <w:rFonts w:ascii="Calibri" w:hAnsi="Calibri" w:eastAsia="Calibri" w:cs="Calibri"/>
        <w:sz w:val="20"/>
        <w:szCs w:val="20"/>
        <w:lang w:val="ru-RU" w:bidi="ru-RU"/>
      </w:rPr>
    </w:pPr>
    <w:r>
      <w:rPr>
        <w:rFonts w:ascii="Calibri" w:hAnsi="Calibri" w:eastAsia="Calibri" w:cs="Calibri"/>
        <w:sz w:val="20"/>
        <w:szCs w:val="20"/>
      </w:rP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PAGE   \* MERGEFORMAT</w:instrText>
    </w:r>
    <w:r>
      <w:fldChar w:fldCharType="separate"/>
    </w:r>
    <w:r>
      <w:rPr>
        <w:rFonts w:ascii="Calibri" w:hAnsi="Calibri" w:eastAsia="Calibri" w:cs="Calibri"/>
        <w:sz w:val="20"/>
        <w:szCs w:val="20"/>
      </w:rPr>
      <w:t xml:space="preserve">11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5073957">
    <w:multiLevelType w:val="hybridMultilevel"/>
    <w:lvl w:ilvl="0">
      <w:start w:val="1"/>
      <w:numFmt w:val="decimal"/>
      <w:suff w:val="tab"/>
      <w:lvlText w:val="%1."/>
      <w:lvlJc w:val="left"/>
      <w:pPr>
        <w:ind w:left="540" w:hanging="54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decimal"/>
      <w:suff w:val="tab"/>
      <w:lvlText w:val="%1.%2."/>
      <w:lvlJc w:val="left"/>
      <w:pPr>
        <w:ind w:left="540" w:hanging="54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decimal"/>
      <w:suff w:val="tab"/>
      <w:lvlText w:val="%1.%2.%3."/>
      <w:lvlJc w:val="left"/>
      <w:pPr>
        <w:ind w:left="720" w:hanging="72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decimal"/>
      <w:suff w:val="tab"/>
      <w:lvlText w:val="%1.%2.%3.%4."/>
      <w:lvlJc w:val="left"/>
      <w:pPr>
        <w:ind w:left="720" w:hanging="72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decimal"/>
      <w:suff w:val="tab"/>
      <w:lvlText w:val="%1.%2.%3.%4.%5."/>
      <w:lvlJc w:val="left"/>
      <w:pPr>
        <w:ind w:left="1080" w:hanging="108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decimal"/>
      <w:suff w:val="tab"/>
      <w:lvlText w:val="%1.%2.%3.%4.%5.%6."/>
      <w:lvlJc w:val="left"/>
      <w:pPr>
        <w:ind w:left="1080" w:hanging="108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decimal"/>
      <w:suff w:val="tab"/>
      <w:lvlText w:val="%1.%2.%3.%4.%5.%6.%7."/>
      <w:lvlJc w:val="left"/>
      <w:pPr>
        <w:ind w:left="1440" w:hanging="144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decimal"/>
      <w:suff w:val="tab"/>
      <w:lvlText w:val="%1.%2.%3.%4.%5.%6.%7.%8."/>
      <w:lvlJc w:val="left"/>
      <w:pPr>
        <w:ind w:left="1440" w:hanging="144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decimal"/>
      <w:suff w:val="tab"/>
      <w:lvlText w:val="%1.%2.%3.%4.%5.%6.%7.%8.%9."/>
      <w:lvlJc w:val="left"/>
      <w:pPr>
        <w:ind w:left="1800" w:hanging="180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837960108">
    <w:multiLevelType w:val="hybridMultilevel"/>
    <w:lvl w:ilvl="0">
      <w:start w:val="1"/>
      <w:numFmt w:val="bullet"/>
      <w:suff w:val="tab"/>
      <w:lvlText w:val=""/>
      <w:lvlJc w:val="left"/>
      <w:pPr>
        <w:ind w:left="720" w:hanging="360"/>
      </w:pPr>
      <w:rPr>
        <w:rFonts w:ascii="Times New Roman" w:hAnsi="Times New Roman" w:eastAsia="Times New Roman" w:cs="Times New Roman"/>
        <w:lang w:val="ru-RU" w:bidi="ru-RU"/>
      </w:rPr>
    </w:lvl>
    <w:lvl w:ilvl="1" w:tentative="1">
      <w:start w:val="1"/>
      <w:numFmt w:val="bullet"/>
      <w:suff w:val="tab"/>
      <w:lvlText w:val="o"/>
      <w:lvlJc w:val="left"/>
      <w:pPr>
        <w:ind w:left="1440" w:hanging="360"/>
      </w:pPr>
      <w:rPr>
        <w:rFonts w:ascii="Times New Roman" w:hAnsi="Times New Roman" w:eastAsia="Times New Roman" w:cs="Times New Roman"/>
        <w:lang w:val="ru-RU" w:bidi="ru-RU"/>
      </w:rPr>
    </w:lvl>
    <w:lvl w:ilvl="2" w:tentative="1">
      <w:start w:val="1"/>
      <w:numFmt w:val="bullet"/>
      <w:suff w:val="tab"/>
      <w:lvlText w:val=""/>
      <w:lvlJc w:val="left"/>
      <w:pPr>
        <w:ind w:left="2160" w:hanging="360"/>
      </w:pPr>
      <w:rPr>
        <w:rFonts w:ascii="Times New Roman" w:hAnsi="Times New Roman" w:eastAsia="Times New Roman" w:cs="Times New Roman"/>
        <w:lang w:val="ru-RU" w:bidi="ru-RU"/>
      </w:rPr>
    </w:lvl>
    <w:lvl w:ilvl="3" w:tentative="1">
      <w:start w:val="1"/>
      <w:numFmt w:val="bullet"/>
      <w:suff w:val="tab"/>
      <w:lvlText w:val=""/>
      <w:lvlJc w:val="left"/>
      <w:pPr>
        <w:ind w:left="2880" w:hanging="360"/>
      </w:pPr>
      <w:rPr>
        <w:rFonts w:ascii="Times New Roman" w:hAnsi="Times New Roman" w:eastAsia="Times New Roman" w:cs="Times New Roman"/>
        <w:lang w:val="ru-RU" w:bidi="ru-RU"/>
      </w:rPr>
    </w:lvl>
    <w:lvl w:ilvl="4" w:tentative="1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hAnsi="Times New Roman" w:eastAsia="Times New Roman" w:cs="Times New Roman"/>
        <w:lang w:val="ru-RU" w:bidi="ru-RU"/>
      </w:rPr>
    </w:lvl>
    <w:lvl w:ilvl="5" w:tentative="1">
      <w:start w:val="1"/>
      <w:numFmt w:val="bullet"/>
      <w:suff w:val="tab"/>
      <w:lvlText w:val=""/>
      <w:lvlJc w:val="left"/>
      <w:pPr>
        <w:ind w:left="4320" w:hanging="360"/>
      </w:pPr>
      <w:rPr>
        <w:rFonts w:ascii="Times New Roman" w:hAnsi="Times New Roman" w:eastAsia="Times New Roman" w:cs="Times New Roman"/>
        <w:lang w:val="ru-RU" w:bidi="ru-RU"/>
      </w:rPr>
    </w:lvl>
    <w:lvl w:ilvl="6" w:tentative="1">
      <w:start w:val="1"/>
      <w:numFmt w:val="bullet"/>
      <w:suff w:val="tab"/>
      <w:lvlText w:val=""/>
      <w:lvlJc w:val="left"/>
      <w:pPr>
        <w:ind w:left="5040" w:hanging="360"/>
      </w:pPr>
      <w:rPr>
        <w:rFonts w:ascii="Times New Roman" w:hAnsi="Times New Roman" w:eastAsia="Times New Roman" w:cs="Times New Roman"/>
        <w:lang w:val="ru-RU" w:bidi="ru-RU"/>
      </w:rPr>
    </w:lvl>
    <w:lvl w:ilvl="7" w:tentative="1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hAnsi="Times New Roman" w:eastAsia="Times New Roman" w:cs="Times New Roman"/>
        <w:lang w:val="ru-RU" w:bidi="ru-RU"/>
      </w:rPr>
    </w:lvl>
    <w:lvl w:ilvl="8" w:tentative="1">
      <w:start w:val="1"/>
      <w:numFmt w:val="bullet"/>
      <w:suff w:val="tab"/>
      <w:lvlText w:val=""/>
      <w:lvlJc w:val="left"/>
      <w:pPr>
        <w:ind w:left="6480" w:hanging="360"/>
      </w:pPr>
      <w:rPr>
        <w:rFonts w:ascii="Times New Roman" w:hAnsi="Times New Roman" w:eastAsia="Times New Roman" w:cs="Times New Roman"/>
        <w:lang w:val="ru-RU" w:bidi="ru-RU"/>
      </w:rPr>
    </w:lvl>
  </w:abstractNum>
  <w:num w:numId="1">
    <w:abstractNumId w:val="85073957"/>
  </w:num>
  <w:num w:numId="2">
    <w:abstractNumId w:val="183796010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pageBottom"/>
    <w:numRestart w:val="continuous"/>
    <w:footnote w:id="0"/>
    <w:footnote w:id="1"/>
  </w:footnotePr>
  <w:endnotePr>
    <w:pos w:val="docEnd"/>
    <w:endnote w:id="0"/>
    <w:endnote w:id="1"/>
  </w:endnotePr>
  <w:compat>
    <w:compatSetting w:name="compatibilityMode" w:uri="http://schemas.microsoft.com/office/word" w:val="11"/>
  </w:compat>
  <m:mathPr>
    <m:mathFont m:val="Cambria Math"/>
    <m:brkBin m:val="before"/>
    <m:brkBinSub m:val="--"/>
    <m:dispDef m:val="false"/>
    <m:lMargin m:val="0"/>
    <m:rMargin m:val="0"/>
    <m:defJc m:val="center"/>
    <m:wrapIndent m:val="1440"/>
    <m:intLim m:val="subSup"/>
    <m:naryLim m:val="undOvr"/>
  </m:mathPr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sz w:val="24"/>
        <w:szCs w:val="24"/>
        <w:lang w:val="ru-RU" w:bidi="ru-RU"/>
      </w:rPr>
    </w:rPrDefault>
    <w:pPrDefault>
      <w:pPr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lang w:val="ru-RU" w:bidi="ru-RU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uiPriority w:val="0"/>
    <w:qFormat/>
    <w:pPr>
      <w:spacing w:before="0" w:after="200" w:line="276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2"/>
      <w:szCs w:val="22"/>
      <w:lang w:val="ru-RU" w:bidi="ru-RU"/>
    </w:rPr>
  </w:style>
  <w:style w:type="paragraph" w:styleId="Style_2">
    <w:name w:val="heading 2"/>
    <w:basedOn w:val="Style_0"/>
    <w:uiPriority w:val="9"/>
    <w:semiHidden/>
    <w:unhideWhenUsed/>
    <w:qFormat/>
    <w:pPr>
      <w:keepNext/>
      <w:spacing w:before="240" w:after="60" w:line="276" w:lineRule="auto"/>
      <w:ind w:left="0" w:right="0"/>
      <w:jc w:val="left"/>
      <w:outlineLvl w:val="1"/>
      <w:rPr>
        <w:rFonts w:ascii="Times New Roman" w:hAnsi="Times New Roman" w:eastAsia="Times New Roman" w:cs="Times New Roman"/>
        <w:lang w:val="ru-RU" w:bidi="ru-RU"/>
      </w:rPr>
    </w:pPr>
    <w:rPr>
      <w:rFonts w:ascii="Cambria" w:hAnsi="Cambria" w:eastAsia="Cambria" w:cs="Cambria"/>
      <w:b/>
      <w:bCs/>
      <w:i/>
      <w:iCs/>
      <w:sz w:val="28"/>
      <w:szCs w:val="28"/>
      <w:lang w:val="ru-RU" w:bidi="ru-RU"/>
    </w:rPr>
  </w:style>
  <w:style w:type="paragraph" w:styleId="Style_9">
    <w:name w:val="heading 9"/>
    <w:basedOn w:val="Style_0"/>
    <w:qFormat/>
    <w:pPr>
      <w:keepNext/>
      <w:spacing w:before="0" w:after="0" w:line="240" w:lineRule="auto"/>
      <w:ind w:left="0" w:right="0"/>
      <w:jc w:val="center"/>
      <w:outlineLvl w:val="8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b/>
      <w:bCs/>
      <w:sz w:val="24"/>
      <w:szCs w:val="24"/>
      <w:lang w:val="ru-RU" w:bidi="ru-RU"/>
    </w:rPr>
  </w:style>
  <w:style w:type="character" w:styleId="Style_10">
    <w:name w:val="Default Paragraph Font"/>
    <w:uiPriority w:val="1"/>
    <w:unhideWhenUsed/>
    <w:rPr>
      <w:rFonts w:ascii="Calibri" w:hAnsi="Calibri" w:eastAsia="Calibri" w:cs="Calibri"/>
      <w:sz w:val="24"/>
      <w:szCs w:val="24"/>
      <w:lang w:val="ru-RU" w:bidi="ru-RU"/>
    </w:rPr>
  </w:style>
  <w:style w:type="table" w:styleId="Style_11">
    <w:name w:val="Normal Table"/>
    <w:semiHidden/>
    <w:unhideWhenUsed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0"/>
      <w:szCs w:val="20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108" w:type="dxa"/>
        <w:right w:w="108" w:type="dxa"/>
      </w:tblCellMar>
    </w:tblPr>
  </w:style>
  <w:style w:type="character" w:styleId="Style_15">
    <w:name w:val="Заголовок 2 Знак"/>
    <w:basedOn w:val="Style_10"/>
    <w:uiPriority w:val="9"/>
    <w:semiHidden/>
    <w:locked/>
    <w:rPr>
      <w:rFonts w:ascii="Cambria" w:hAnsi="Cambria" w:eastAsia="Cambria" w:cs="Cambria"/>
      <w:b/>
      <w:bCs/>
      <w:i/>
      <w:iCs/>
      <w:sz w:val="28"/>
      <w:szCs w:val="28"/>
      <w:lang w:val="ru-RU" w:bidi="ru-RU"/>
    </w:rPr>
  </w:style>
  <w:style w:type="character" w:styleId="Style_16">
    <w:name w:val="Заголовок 9 Знак"/>
    <w:basedOn w:val="Style_10"/>
    <w:locked/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17">
    <w:name w:val="header,ВерхКолонтитул"/>
    <w:basedOn w:val="Style_0"/>
    <w:pPr>
      <w:tabs>
        <w:tab w:val="center" w:pos="4536"/>
        <w:tab w:val="right" w:pos="9072"/>
      </w:tabs>
      <w:spacing w:before="0" w:after="0" w:line="240" w:lineRule="auto"/>
      <w:ind w:left="0" w:right="0" w:firstLine="709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8"/>
      <w:szCs w:val="28"/>
      <w:lang w:val="ru-RU" w:bidi="ru-RU"/>
    </w:rPr>
  </w:style>
  <w:style w:type="character" w:styleId="Style_18">
    <w:name w:val="Верхний колонтитул Знак,ВерхКолонтитул Знак"/>
    <w:basedOn w:val="Style_10"/>
    <w:locked/>
    <w:rPr>
      <w:rFonts w:ascii="Times New Roman" w:hAnsi="Times New Roman" w:eastAsia="Times New Roman" w:cs="Times New Roman"/>
      <w:sz w:val="20"/>
      <w:szCs w:val="20"/>
      <w:lang w:bidi="ru-RU"/>
    </w:rPr>
  </w:style>
  <w:style w:type="paragraph" w:styleId="Style_19">
    <w:name w:val="Body Text 2"/>
    <w:basedOn w:val="Style_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8"/>
      <w:szCs w:val="28"/>
      <w:lang w:val="ru-RU" w:bidi="ru-RU"/>
    </w:rPr>
  </w:style>
  <w:style w:type="character" w:styleId="Style_20">
    <w:name w:val="Основной текст 2 Знак"/>
    <w:basedOn w:val="Style_10"/>
    <w:locked/>
    <w:rPr>
      <w:rFonts w:ascii="Times New Roman" w:hAnsi="Times New Roman" w:eastAsia="Times New Roman" w:cs="Times New Roman"/>
      <w:sz w:val="20"/>
      <w:szCs w:val="20"/>
      <w:lang w:bidi="ru-RU"/>
    </w:rPr>
  </w:style>
  <w:style w:type="paragraph" w:styleId="Style_21">
    <w:name w:val="Body Text Indent"/>
    <w:basedOn w:val="Style_0"/>
    <w:pPr>
      <w:spacing w:before="0" w:after="0" w:line="240" w:lineRule="auto"/>
      <w:ind w:left="180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8"/>
      <w:szCs w:val="28"/>
      <w:lang w:val="ru-RU" w:bidi="ru-RU"/>
    </w:rPr>
  </w:style>
  <w:style w:type="character" w:styleId="Style_22">
    <w:name w:val="Основной текст с отступом Знак"/>
    <w:basedOn w:val="Style_10"/>
    <w:locked/>
    <w:rPr>
      <w:rFonts w:ascii="Times New Roman" w:hAnsi="Times New Roman" w:eastAsia="Times New Roman" w:cs="Times New Roman"/>
      <w:sz w:val="20"/>
      <w:szCs w:val="20"/>
      <w:lang w:bidi="ru-RU"/>
    </w:rPr>
  </w:style>
  <w:style w:type="paragraph" w:styleId="Style_23">
    <w:name w:val="Balloon Text"/>
    <w:basedOn w:val="Style_0"/>
    <w:semiHidden/>
    <w:unhideWhenUsed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ahoma" w:hAnsi="Tahoma" w:eastAsia="Tahoma" w:cs="Tahoma"/>
      <w:sz w:val="16"/>
      <w:szCs w:val="16"/>
      <w:lang w:val="ru-RU" w:bidi="ru-RU"/>
    </w:rPr>
  </w:style>
  <w:style w:type="character" w:styleId="Style_24">
    <w:name w:val="Текст выноски Знак"/>
    <w:basedOn w:val="Style_10"/>
    <w:semiHidden/>
    <w:locked/>
    <w:rPr>
      <w:rFonts w:ascii="Tahoma" w:hAnsi="Tahoma" w:eastAsia="Tahoma" w:cs="Tahoma"/>
      <w:sz w:val="16"/>
      <w:szCs w:val="16"/>
      <w:lang w:bidi="ru-RU"/>
    </w:rPr>
  </w:style>
  <w:style w:type="table" w:styleId="Style_25">
    <w:name w:val="Table Grid"/>
    <w:basedOn w:val="Style_11"/>
    <w:uiPriority w:val="59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0"/>
      <w:szCs w:val="20"/>
      <w:lang w:val="ru-RU" w:bidi="ru-RU"/>
    </w:rPr>
    <w:tblPr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left w:w="108" w:type="dxa"/>
        <w:right w:w="108" w:type="dxa"/>
      </w:tblCellMar>
    </w:tblPr>
  </w:style>
  <w:style w:type="paragraph" w:styleId="Style_26">
    <w:name w:val="Основной текст 21"/>
    <w:basedOn w:val="Style_0"/>
    <w:uiPriority w:val="0"/>
    <w:pPr>
      <w:spacing w:before="0" w:after="0" w:line="360" w:lineRule="auto"/>
      <w:ind w:left="0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8"/>
      <w:szCs w:val="28"/>
      <w:lang w:val="ru-RU" w:bidi="ru-RU"/>
    </w:rPr>
  </w:style>
  <w:style w:type="paragraph" w:styleId="Style_27">
    <w:name w:val="footer"/>
    <w:basedOn w:val="Style_0"/>
    <w:unhideWhenUsed/>
    <w:pPr>
      <w:tabs>
        <w:tab w:val="center" w:pos="4677"/>
        <w:tab w:val="right" w:pos="9355"/>
      </w:tabs>
      <w:spacing w:before="0" w:after="200" w:line="276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2"/>
      <w:szCs w:val="22"/>
      <w:lang w:val="ru-RU" w:bidi="ru-RU"/>
    </w:rPr>
  </w:style>
  <w:style w:type="character" w:styleId="Style_28">
    <w:name w:val="Нижний колонтитул Знак"/>
    <w:basedOn w:val="Style_10"/>
    <w:locked/>
    <w:rPr>
      <w:rFonts w:ascii="Calibri" w:hAnsi="Calibri" w:eastAsia="Calibri" w:cs="Calibri"/>
      <w:sz w:val="22"/>
      <w:szCs w:val="22"/>
      <w:lang w:val="ru-RU" w:bidi="ru-RU"/>
    </w:rPr>
  </w:style>
  <w:style w:type="paragraph" w:styleId="Style_29">
    <w:name w:val="No Spacing"/>
    <w:uiPriority w:val="1"/>
    <w:qFormat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2"/>
      <w:szCs w:val="22"/>
      <w:lang w:val="ru-RU" w:bidi="zh-CN"/>
    </w:rPr>
  </w:style>
  <w:style w:type="paragraph" w:styleId="Style_30">
    <w:name w:val="ConsPlusNormal"/>
    <w:uiPriority w:val="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</w:style>
  <w:style w:type="paragraph" w:styleId="Style_31">
    <w:name w:val="Body Text"/>
    <w:basedOn w:val="Style_0"/>
    <w:semiHidden/>
    <w:unhideWhenUsed/>
    <w:pPr>
      <w:spacing w:before="0" w:after="120" w:line="276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2"/>
      <w:szCs w:val="22"/>
      <w:lang w:val="ru-RU" w:bidi="ru-RU"/>
    </w:rPr>
  </w:style>
  <w:style w:type="character" w:styleId="Style_32">
    <w:name w:val="Основной текст Знак"/>
    <w:basedOn w:val="Style_10"/>
    <w:semiHidden/>
    <w:locked/>
    <w:rPr>
      <w:rFonts w:ascii="Calibri" w:hAnsi="Calibri" w:eastAsia="Calibri" w:cs="Calibri"/>
      <w:sz w:val="22"/>
      <w:szCs w:val="22"/>
      <w:lang w:val="ru-RU" w:bidi="ru-RU"/>
    </w:rPr>
  </w:style>
  <w:style w:type="paragraph" w:styleId="Style_33">
    <w:name w:val="List"/>
    <w:basedOn w:val="Style_31"/>
    <w:pPr>
      <w:spacing w:before="0" w:after="120" w:line="276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2"/>
      <w:szCs w:val="22"/>
      <w:lang w:val="ru-RU" w:bidi="zh-CN"/>
    </w:rPr>
  </w:style>
  <w:style w:type="character" w:styleId="Style_34">
    <w:name w:val="Без интервала Знак"/>
    <w:uiPriority w:val="1"/>
    <w:locked/>
    <w:rPr>
      <w:rFonts w:ascii="Calibri" w:hAnsi="Calibri" w:eastAsia="Calibri" w:cs="Calibri"/>
      <w:sz w:val="22"/>
      <w:szCs w:val="22"/>
      <w:lang w:bidi="zh-CN"/>
    </w:rPr>
  </w:style>
  <w:style w:type="paragraph" w:styleId="Style_35">
    <w:name w:val="footnote text"/>
    <w:basedOn w:val="Style_0"/>
    <w:pPr>
      <w:spacing w:before="0" w:after="200" w:line="276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0"/>
      <w:szCs w:val="20"/>
      <w:lang w:val="ru-RU" w:bidi="ru-RU"/>
    </w:rPr>
  </w:style>
  <w:style w:type="character" w:styleId="Style_36">
    <w:name w:val="Текст сноски Знак"/>
    <w:basedOn w:val="Style_10"/>
    <w:locked/>
    <w:rPr>
      <w:rFonts w:ascii="Calibri" w:hAnsi="Calibri" w:eastAsia="Calibri" w:cs="Calibri"/>
      <w:sz w:val="24"/>
      <w:szCs w:val="24"/>
      <w:lang w:val="ru-RU" w:bidi="ru-RU"/>
    </w:rPr>
  </w:style>
  <w:style w:type="character" w:styleId="Style_37">
    <w:name w:val="footnote reference"/>
    <w:basedOn w:val="Style_10"/>
    <w:rPr>
      <w:rFonts w:ascii="Calibri" w:hAnsi="Calibri" w:eastAsia="Calibri" w:cs="Calibri"/>
      <w:sz w:val="24"/>
      <w:szCs w:val="24"/>
      <w:vertAlign w:val="superscript"/>
      <w:lang w:val="ru-RU" w:bidi="ru-RU"/>
    </w:rPr>
  </w:style>
  <w:style w:type="paragraph" w:styleId="Style_38">
    <w:name w:val="endnote text"/>
    <w:basedOn w:val="Style_0"/>
    <w:pPr>
      <w:spacing w:before="0" w:after="200" w:line="276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0"/>
      <w:szCs w:val="20"/>
      <w:lang w:val="ru-RU" w:bidi="ru-RU"/>
    </w:rPr>
  </w:style>
  <w:style w:type="character" w:styleId="Style_39">
    <w:name w:val="Текст концевой сноски Знак"/>
    <w:basedOn w:val="Style_10"/>
    <w:locked/>
    <w:rPr>
      <w:rFonts w:ascii="Calibri" w:hAnsi="Calibri" w:eastAsia="Calibri" w:cs="Calibri"/>
      <w:sz w:val="24"/>
      <w:szCs w:val="24"/>
      <w:lang w:val="ru-RU" w:bidi="ru-RU"/>
    </w:rPr>
  </w:style>
  <w:style w:type="character" w:styleId="Style_40">
    <w:name w:val="endnote reference"/>
    <w:basedOn w:val="Style_10"/>
    <w:rPr>
      <w:rFonts w:ascii="Calibri" w:hAnsi="Calibri" w:eastAsia="Calibri" w:cs="Calibri"/>
      <w:sz w:val="24"/>
      <w:szCs w:val="24"/>
      <w:vertAlign w:val="superscript"/>
      <w:lang w:val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WithSpaces>10894</CharactersWithSpaces>
  <DocSecurity>0</DocSecurity>
  <HyperlinksChanged>false</HyperlinksChanged>
  <LinksUpToDate>false</LinksUpToDate>
  <Pages>11</Pages>
  <ScaleCrop>false</ScaleCrop>
  <SharedDoc>false</SharedDoc>
  <TotalTime>2258</TotalTime>
  <Words>1911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/>
</cp:coreProperties>
</file>