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215"/>
        <w:spacing w:before="0" w:after="0" w:line="240" w:lineRule="auto"/>
        <w:ind w:left="10490" w:right="0" w:firstLine="0"/>
        <w:jc w:val="center"/>
        <w:rPr>
          <w:rFonts w:ascii="Calibri" w:hAnsi="Calibri" w:eastAsia="Calibri" w:cs="Calibri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</w:p>
    <w:p>
      <w:pPr>
        <w:pStyle w:val="Style_215"/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приказу министерства труда</w:t>
      </w:r>
    </w:p>
    <w:p>
      <w:pPr>
        <w:pStyle w:val="Style_215"/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 социального развития Новосибирской области</w:t>
      </w:r>
    </w:p>
    <w:p>
      <w:pPr>
        <w:pStyle w:val="Style_215"/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от _______ № _____</w:t>
      </w:r>
    </w:p>
    <w:p>
      <w:pPr>
        <w:spacing w:before="0" w:after="0" w:line="240" w:lineRule="auto"/>
        <w:ind w:left="0" w:right="0" w:firstLine="709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709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«Таблица № 2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Информация о порядке сбора информации для определения (расчета)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плановых и фактических значений целевых индикаторов 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государственной программы Новосибирской области 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«Социальная поддержка в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очередной 2023 год 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</w:p>
    <w:tbl>
      <w:tblPr>
        <w:tblStyle w:val="Style_11"/>
        <w:tblW w:w="1474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686"/>
        <w:gridCol w:w="1701"/>
        <w:gridCol w:w="1276"/>
        <w:gridCol w:w="3968"/>
        <w:gridCol w:w="4111"/>
      </w:tblGrid>
      <w:t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Наименование целевого индикатора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Периодичность сбора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Вид временной характеристики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Методика расчета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(плановых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и фактических значений)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Источник получения данных</w:t>
            </w:r>
          </w:p>
        </w:tc>
      </w:tr>
      <w:tr>
        <w:trPr>
          <w:trHeight w:val="102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 Степень обеспеченности выплатами граждан, имеющих право на меры социальной поддержки, из числа обратившихся за предоставлением мер социальной поддержки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2019-2021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количество граждан, получающих меры социальной поддержки (компенсацию, пособие, субсидию) / количество граждан, имеющих право на меры социальной поддержки, из числа обратившихся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1.1.1.1.1.1.,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1.1.1.1.1.3.,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1.1.1.1.2.1.,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1.2.4.1.1.1.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внутренних сведений, собираемых и формируемых МТиСР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2. 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основании анализа фактических значений показателя за предыдущий период, в том числе в рамках реализации в 2014-2021 годах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количество граждан, получивших социальные услуги в учреждениях социального обслуживания населения / общее число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Общепрограммное мероприятие О1,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Общепрограммное мероприятие О2,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Общепрограммное мероприятие О4.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Данные отчетности КЦСОН и подведомственных учреждений МТиСР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3. 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основании анализа фактических значений показателя за предыдущий период, в том числе в 2017-2021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количество некоммерческих организаций (за исключением государственных и муниципальных организаций), оказывающих социальные услуги (факт за отчетный период) / количество всех организаций (коммерческих, государственных и муниципальных), оказывающих социальные услуги (факт за отчетный период)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Общепрограммное мероприятие О2,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Общепрограммное мероприятие О4.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1.1.1.1.1.2.,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1.2.2.1.1.1.,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1.2.2.1.1.2.,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1.2.3.1.2.1.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некоммерческих организаций (за исключением государственных и муниципальных организаций), оказывающих социальные услуги, определяется на основании отчетных данных МТиСР о количестве таких организаций, с которыми МТиСР заключены соглашения (договоры) на оказание социальных услуг в отчетном периоде, либо, которым МТиСР выплачена компенсация за предоставление социальных услуг в соответствии с постановлением Правительства Новосибирской области от 09.02.2015 № 49-п «О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(заказа)», Порядком предоставления и определения объема субсидий некоммерческим организациям, не являющимся государственными (муниципальными) учреждениями в рамках реализации государственной программы Новосибирской области «Социальная поддержка в Новосибирской области».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организаций, оказывающих социальные услуги в Новосибирской области определяется на основании отчетных данных МТиСР об общем количестве государственных и муниципальных организаций социального обслуживания, выполняющих государственное (муниципальное) задание, и иных организаций, оказывающих социальные услуги в рамках государственной программы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4. Количество граждан, воспользовавшихся налоговой льготой по транспортному налогу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определяется как среднее количество граждан, получивших налоговую льготу по транспортному налогу, за последние 3 года, предшествующие году, перед очередным годом реализации Программы (с учетом года введения налога)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лиц, воспользовавшихся налоговой льготой по транспортному налогу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Общепрограммное мероприятие О4.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О4.1.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о количестве граждан, получивших налоговую льготу по транспортному налогу, предоставляемых министерством финансов и налоговой политики Новосибирской области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5. 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x планируемая численность детей школьного возраста, охваченных всеми видами отдыха и оздоровления, на планируемый год / общая численность детей школьного возраста Новосибирской области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численность детей школьного возраста, охваченных всеми видами отдыха и оздоровления, с начала отчетного года / общая численность детей школьного возраста Новосибирской области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1.1.1.1.2.1.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оздоровленных детей определяется как численность детей, оздоровленных в рамках мероприятий 1.1.1.1.2.1.1, 1.1.1.1.2.1.2. (на основании актов выполненных работ и отчетных данных администраций муниципальных районов и городских округов Новосибирской области), а также при исчислении фактического значения целевого индикатора учитывается численность детей, оздоровленных за счет внепрограммных мероприятий за счет внебюджетных источников.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детей, подлежащих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оздоровлению, и численность детей школьного возраста Новосибирской области в текущем году определяется на основании данных, собираемых и формируемых МТиСР в рамках ведомственного мониторинга.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При расчете показателя на 2023 год  общая численность детей школьного возраста Новосибирской области составляет 339 822 детей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Доля семей с детьми, испытывающих трудности в социальной адаптации, в общей численности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на основании анализа фактических значений показателя за предыдущий период, в том числе в 2019-2021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число семей с детьми, испытывающих трудности в социальной адаптации 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общая численность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Основные мероприятия О.1, О.2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отчетных данных, собираемых и формируемых МТиСР в отчетном периоде. Численность  семей с детьми, испытывающих трудности в социальной адаптации, а также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численность семей с детьми, состоящих на учете в органах социальной защиты населения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определяется с использованием государственной информационной системы  «Территориальная информационная система «Социальный портрет гражданина и Типизированное хранилище данных Новосибирской области»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ru-RU" w:bidi="ru-RU"/>
              </w:rPr>
              <w:t xml:space="preserve"> Доля семей со среднедушевым доходом, не превышающим величину прожиточного минимума, установленную в Новосибирской области, получающих ежемесячную денежную выплату, назначаемую в случае рождения третьего ребенка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рамках реализации в 2014-2021 годах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 и с учетом финансового обеспечения мероприятия на планируемый год.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количество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выплату, назначаемую в случае рождения третьего ребенка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1.1.1.1.1.1.3.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(заявок и отчетов) центров социальной поддержки населения Новосибирской области, подведомственных МТиСР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8. Доля граждан,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жилых помещениях, право на обеспечение жилыми помещениями у которых уже возникло и не реализовано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Ч/Н, где: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 – планируемая численность детей-сирот и детей, оставшихся без попечения родителей, лиц из числа детей-сирот и детей, оставшихся без попечения родителей, которые будут обеспечены жилыми помещениями в течение года, определяется с учетом запланированного объема финансирования по мероприятию 1.1.1.1.1.4.4.;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 – численность нуждающихся в жилых помещениях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возникло и не реализовано, на конец года, предшествующего планируемому году,  с учетом прогнозируемого ежегодного прироста граждан (на основании анализа динамики среднего ежегодного прироста за 5 лет), включенных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по Новосибирской области (для определения планового значения целевого индикатора на 2023 год используется значение целевого индикатора № 17 на 31.12.2022 (5 398 человек)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Ч/Н, где: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 – численность лиц из числа детей-сирот и детей, оставшихся без попечения родителей, обеспеченных жилыми помещениями в рамках реализации мероприятия 1.1.1.1.1.4.4 на конец отчетного периода (на 1 января года, следующего за отчетным);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 – суммарная численность нуждающихся в жилых помещениях лиц данной категории, право на обеспечение жилыми помещениями у которых уже возникло и не реализовано, на начало отчетного периода (на 1 января отчетного года)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1.1.1.1.1.4.4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данных, полученных при реализации мероприятия государственной программы, и отчетности органов опеки и попечительства муниципальных районов и городских округов Новосибирской области и сводного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по Новосибирской области, формируемого МТиСР на основании постановления Правительства Новосибирской области от 24.12.2019 № 503-п «О порядке и сроке направления органами местного самоуправления сформированных списков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в уполномоченный орган»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835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9. Соотношение средней заработной платы социальных работников и средней заработной платы в Новосибирской области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основании анализа фактических значений показателя за предыдущий период, в том числе в 2014-2021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СЗПсоц / СЗПнсо *100%,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где: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СЗПсоц - средняя заработная плата социальных работников, включая социальных работников медицинских организаций;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СЗПнсо – средняя заработная плата в Новосибирской области (в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11.07.2015  № 698 «Об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Общепрограммное мероприятие О1.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Данные ведомственного мониторинга (о средней заработной плате социальных работников), данные Территориального органа Федеральной службы государственной статистики по Новосибирской области, Росстата.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Для расчета значения целевого индикатора: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 за 1-й квартал – используется фактическое значение средней заработной платы в Новосибирской области за предыдущий год;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 за полугодие, 9 месяцев, год – используется плановое значение средней заработной платы в Новосибирской области, установленное на текущий год (с последующим уточнением данных Росстата)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10. Средняя численность получателей услуг на одного социального работника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основании анализа фактических значений показателя за предыдущий период, в том числе в 2015-2021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получателей социальных услуг (факт по данным отчетов КЦСОН) / количество социальных работников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О.1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О1.1,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О.2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Мероприятия  О2.6, О2.7, О2.8, О2.9,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Основные мероприятия 1.1.1.1.1.2, 1.1.1.1.1.4, 1.1.1.1.1.5, 1.1.1.1.2.1., 1.2.2.1.1.1, 1.2.2.1.1.2, 1.2.3.1.2.1., 1.2.4.1.1.2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социальных работников определяется на основании данных Территориального органа Федеральной службы государственной статистики по Новосибирской области</w:t>
            </w:r>
          </w:p>
        </w:tc>
      </w:tr>
      <w:tr>
        <w:trPr>
          <w:trHeight w:val="695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П.1. Количество разработанной проектно-сметной документации на объекты строительства и реконструкции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определяются на основании потребности (заявок) в разработке проектной документации на объекты строительства и реконструкции, поступивших от учреждений, подведомственных МТиСР, с учетом запланированного объема финансирования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Фактическое значение: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определяется как 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разработанных проектных документаций на объекты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строительства и реконструкции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1.1.1.1.1.2,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1.1.1.1.1.2.9.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Отчетность учреждений, подведомственными МТиСР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587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П.2. Количество отремонтированных учреждений в соответствии с расчетно-сметной документацией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определяются на основании потребности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ремонтные работы, поступивших от учреждений, с учетом запланированного объема финансирования.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определяется как 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отремонтированных учреждений в соответствии с расчетно-сметной документацией.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О.1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О1.2,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Мероприятия 1.1.1.1.1.2.7, 1.1.1.1.1.2.9, 1.1.1.1.1.2.10, 1.1.1.1.1.2.14, 1.1.1.1.1.2.19,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1.1.1.1.2.1.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1.1.1.1.2.1.7.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1.2.2.1.1.1.2.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1.2.2.1.1.2.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1.2.2.1.1.2.3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Отчетность учреждений, в которых проведены работы по текущему и капитальному ремонту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11. Численность семей с 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на основании анализа фактических значений показателя за предыдущий период, в том числе в 2019-2021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общее количество семей с 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О.1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О1.1,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О.2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Мероприятия О2.5., О2.6, О2.7, О2.8, О2.9,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Основные мероприятия 1.1.1.1.1.2, 1.1.1.1.1.4, 1.1.1.1.1.5, 1.1.1.1.2.1., 1.2.2.1.1.1, 1.2.2.1.1.2, 1.2.3.1.2.1., 1.2.4.1.1.2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отчетных данных, собираемых и формируемых МТиСР в отчетном периоде с использованием государственной информационной системы  «Территориальная информационная система «Социальный портрет гражданина и Типизированное хранилище данных Новосибирской области»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12. Доля детей-инвалидов, получивших социальные и реабилитационные услуги в общем количестве детей-инвалидов, проживающих в Новосибирской области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на основании анализа фактических значений показателя за предыдущий период, в том числе в рамках реализации в 2014-2021 годах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x (Ч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1 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) / Ч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vertAlign w:val="subscript"/>
                <w:lang w:val="ru-RU" w:bidi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где: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– количество детей-инвалидов, получивших социальные услуги в отделениях реабилитации КЦСОН, с начала отчетного года;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– количество детей-инвалидов, получивших реабилитационные услуги в специализированных учреждениях для детей с ограниченными возможностями, с начала отчетного года;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vertAlign w:val="subscript"/>
                <w:lang w:val="ru-RU" w:bidi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– общая численность детей-инвалидов, проживающих в Новосибирской области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Основные мероприятия О.2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детей-инвалидов, получивших социальные услуги, определяется на основании отчетных данных отделений реабилитации КЦСОН;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детей-инвалидов, получивших реабилитационные услуги, определяется на основании отчетных данных специализированных учреждений для детей с ограниченными возможностями. Указанные отчетные данные формируются МТиСР.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Общая численность детей-инвалидов определяется на основании данных государственного учреждения –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Социального фонда России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13. Число детей в возрасте от 3 до 7 лет включительно, в отношении которых в отчетном году произведена ежемесячная выплата в целях повышения доходов семей с детьми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2023 году  плановое значение установлено в соответствии с приложением № 1 к соглашению о реализации на территории НСО государственных программ субъекта РФ, направленных на достижение целей и показателей государственной программы РФ Государственная программа РФ «Социальная поддержка граждан» от 14.12.2022 № 2022-00875</w:t>
            </w:r>
          </w:p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детей в возрасте от 3 до 7 лет включительно, в отношении которых в отчетном году произведена ежемесячная выплата на детей в возрасте от трех до семи лет включительно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1.1.1.1.1.3.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Мероприятие 1.1.1.1.1.3.16.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(заявок и отчетов) центров социальной поддержки населения Новосибирской области, подведомственных МТиСР</w:t>
            </w:r>
          </w:p>
        </w:tc>
      </w:tr>
      <w:tr>
        <w:trPr>
          <w:trHeight w:val="1118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14. Доля детей в возрасте от 3 до 7 лет включительно, в отношении которых в отчетном году произведена ежемесячная выплата, в общей численности детей этого возраста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2023  году плановое значение установлено в соответствии с приложением № 1 к соглашению о реализации на территории НСО государственных программ субъекта РФ, направленных на достижение целей и показателей государственной программы РФ Государственная программа РФ «Социальная поддержка граждан» от 14.12.2022 № 2022-00875</w:t>
            </w:r>
          </w:p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детей в возрасте от 3 до 7 лет включительно, в отношении которых в отчетном году произведена ежемесячная выплата на детей в возрасте от 3 до 7 лет включительно / общая численность детей в возрасте от 3 до 7 лет включительно, проживающих на территории Новосибирской области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1.1.1.1.1.3.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1.1.1.1.1.3.16.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(заявок и отчетов) центров социальной поддержки населения Новосибирской области, подведомственных МТиСР. Общая численность детей в возрасте от 3 до 7 лет включительно, проживающих на территории Новосибирской области, определяется по данным Территориального органа Федеральной службы государственной статистики по Новосибирской области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191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15. Доля детей-сирот и детей, оставшихся без попечения родителей, устроенных в семьи, в общей численности детей этой категории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Ч/Д, где: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 – планируемая численность детей-сирот и детей, оставшихся без попечения родителей, которые будут устроены на воспитание в семьи граждан;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 – общая численность детей-сирот и детей, оставшихся без попечения родителей, состоящих на учете в органах опеки и попечительства Новосибирской области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Ч/Д, где: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 – численность детей-сирот и детей, оставшихся без попечения родителей, устроенных в семьи;</w:t>
            </w:r>
          </w:p>
          <w:p>
            <w:pPr>
              <w:tabs>
                <w:tab w:val="left" w:pos="317"/>
              </w:tabs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 – общая численность детей-сирот и детей, оставшихся без попечения родителей, состоящих на учете в органах опеки и попечительства Новосибирской области, на конец отчетного периода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отчетности органов опеки и попечительства Новосибирской области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16. Численность граждан, не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 на конец календарного года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 нуждающихся в жилых помещениях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возникло и не реализовано, с учетом прогнозируемого ежегодного прироста граждан, включенных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по Новосибирской области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рассчитывается, как общая численность детей-сирот, лиц из числа детей-сирот и детей, оставшихся без попечения родителей, право на обеспечение жилыми помещениями, у которых уже возникло и не реализовано, на конец отчетного периода (на 1 января года, следующего за отчетным)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данных, полученных при реализации мероприятия государственной программы, отчетности органов опеки и попечительства Новосибирской области и сводного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по Новосибирской области, формируемого МТиСР на основании постановления Правительства Новосибирской области от 24.12.2019 № 503-п «О порядке и сроке направления органами местного самоуправления сформированных списков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в уполномоченный орган»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17.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определяется исходя из средней рыночной стоимости 1 квадратного метра общей площади жилого помещения и нормы предоставления площади жилого помещения  (согласно методике, утвержденной Законом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родителей»), а также  запланированного объема финансирования на реализацию соответствующего мероприятия, включая прогноз поступления средств из федерального бюджета. При расчете планового значения целевого индикатора также учитывается численность граждан, планируемых к обеспечению жилыми помещениями в текущем году, за счет жилья, приобретенного (но не предоставленного в пользование) в предыдущих периодах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рассчитывается,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как общая численность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реализовано на конец отчетного периода (на 1 января года, следующего за отчетным)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1.1.1.1.1.4.4.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годовой формы № 103-РИК «Сведения о выявлении и устройстве детей-сирот и детей, оставшихся без попечения родителей» Приказа Росстата от 17.12.2021 № 928 «Об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за выявлением и устройством детей-сирот и детей, оставшихся без попечения родителей»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(нарастающим итогом)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определяются нарастающим итогом исходя из средней рыночной стоимости 1 квадратного метра общей площади жилого помещения и нормы предоставления площади жилого помещения  начиная с 01.01.2019 (согласно методике, утвержденной Законом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родителей»), а также  запланированного объема финансирования на реализацию соответствующего мероприятия из федерального бюджета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рассчитывается, как общая численность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реализовано на конец отчетного периода (нарастающим итогом с 01.01.2019)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1.1.1.1.1.4.4.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при подготовке отчета о достижении значений показателей результативности (согласно приложению  к соглашению о предоставлении субсидии из федерального бюджета бюджету Новосибирской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помещений)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19. 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установлены в соответствии с соглашением от 19.12.2022 № 2022-01105 «О реализации на территории Новосибирской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Фактические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Рассчитывается как общая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(нарастающим итогом с 01.01.2023,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базовое значение 2022 года -0,2 тысяч семей) в рамках детализированного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мероприятия 1.1.1.1.1.4.4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 счет средств федерального бюджета, исходя из средней рыночной стоимости 1 квадратного метра общей площади жилого помещения и нормы предоставления площади жилого помещения  начиная с 01.01.2022 (согласно методике, утвержденной Законом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Основное мероприятие 1.1.1.1.1.4.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Мероприятие 1.1.1.1.1.4.4.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Подсчет производится по количеству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 за счет средств федерального бюджета в целях обеспечения контроля за ходом достижения показателя «Количество семей отдельных категорий граждан Российской Федерации, обеспеченных жильем», установленного  соглашением от 19.12.2022 № 2022-01105» </w:t>
            </w:r>
          </w:p>
        </w:tc>
      </w:tr>
      <w:tr>
        <w:trPr>
          <w:trHeight w:val="1106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П.3.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специализированного жилищного фонда по договорам найма специализированных жилых помещений за счет средств субвенций на осуществление строительства жилых помещений для предоставления гражданам, указанным в статье 8 Федерального закона от 21.12.1996 № 159-ФЗ «О дополнительных гарантиях по социальной поддержке детей-сирот и детей, оставшихся без попечения родителей» на конец календарного года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определяются исходя из средней рыночной стоимости 1 квадратного метра общей площади жилого помещения и нормы предоставления площади жилого помещения  (согласно методике, утвержденной Законом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родителей»), а также  запланированного объема финансирования на реализацию соответствующего мероприятия, включая прогноз поступления средств из федерального и областного бюджетов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рассчитывается, как общая численность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реализовано на конец отчетного периода (на 1 января года, следующего за отчетным) за счет средств федерального и областного бюджетов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1.1.1.1.1.4.4.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данных, предоставляемых министерством строительства Новосибирской области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20. 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2017-2021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А/В х 100%, где: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А – количество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повторно в отчетном году;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– количество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в отчетном году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1.1.1.1.1.5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1.1.1.1.1.5.2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отчетных данных, формируемых в рамках исполнения мероприятия государственным учреждением Новосибирской области, подведомственным МТиСР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21. Доля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x планируемая численность оздоровленных детей в возрасте 7-17 лет, находящихся в трудной жизненной ситуации / численность детей в возрасте 7-17 лет, находящихся в трудной жизненной ситуации, подлежащих оздоровлению, на плановый период;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численность оздоровленных детей в возрасте 7-17 лет, находящихся в трудной жизненной ситуации / численность детей в возрасте 7-17 лет, находящихся в трудной жизненной ситуации, подлежащих оздоровлению, в текущем году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1.1.1.1.2.1.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1.1.1.1.2.1.2. 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оздоровленных детей, находящихся в трудной жизненной ситуации, определяется как количество детей, оздоровленных в рамках реализации мероприятия 1.1.1.1.2.1.2. (на основании отчетных данных администраций муниципальных районов и городских округов Новосибирской области).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детей, находящихся в трудной жизненной ситуации, подлежащих оздоровлению, определяется на основании данных, собираемых и формируемых МТиСР в рамках ведомственного мониторинга.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При расчете планового значения на 2023 год численность детей в возрасте 7-17 лет, проживающих в Новосибирской области, находящихся в трудной жизненной ситуации, подлежащих оздоровлению, составляет 91 505 человек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22. Доля организаций отдыха детей и их оздоровления, в которых проведены работы по реконструкции, капитальному и текущему ремонту (ежегодно)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рамках реализации в 2014-2021 годах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и с учетом финансового обеспечения мероприятия на планируемый год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х количество организаций отдыха детей и их оздоровления, в которых проведены работы по реконструкции капитальному и текущему ремонту в текущем году / общее количество организаций отдыха детей и их оздоровления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1.1.1.1.2.1.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1.1.1.1.2.1.7.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организаций отдыха детей и их оздоровления, определяется в соответствии с реестром организаций отдыха и оздоровления детей Новосибирской области, кроме разделов «Тематические лагеря», «Организации за пределами НСО» и «Лагеря с дневным пребыванием»  (</w:t>
            </w:r>
            <w:hyperlink r:id="rId10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 w:bidi="ru-RU"/>
                </w:rPr>
                <w:t xml:space="preserve">https://mtsr.nso.ru/page/5680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).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2022-2024 годах количество организаций отдыха детей и их оздоровления составляет 66 объектов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23. Количество граждан пожилого возраста, вовлеченных в мероприятия по поддержанию их социальной активности и адаптации (ежегодно)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рамках реализации в 2014-2021 годах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 и с учетом запланированного объема финансирования мероприятий Программы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рассчитывается на основании отчетных данных социально ориентированных некоммерческих организаций, по внутренним статистическим сведениям, собираемым и формируемым МТиСР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1.2.2.1.1.1.,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Мероприятия 1.2.2.1.1.1.3, 1.2.2.1.1.1.4, 1.2.2.1.1.1.6, 1.2.2.1.1.1.7, 1.2.2.1.1.1.10;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1.2.2.1.1.2.,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1.2.2.1.1.2.4.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отчетных данных социально ориентированных некоммерческих организаций, по внутренним статистическим сведениям, собираемым и формируемым МТиСР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24. Доля граждан пожилого возраста и инвалидов, обслуживаемых на дому, в общей численности граждан, состоящих на учете на получение надомного обслуживания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2020-2021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 = (N1*100)/N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общ,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общ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общая численность граждан, состоящих на учете на получение надомного обслуживания;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N1 – общая численность граждан, обслуживаемых на дому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Основные мероприятия О.1, О.2, Основное мероприятие 1.2.2.1.1.1.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внутренних статистических сведений, собираемых и формируемых МТиСР (отчет И-7 «Сведения о социальном обслуживании граждан пожилого возраста и инвалидов»)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25. 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 и с учетом запланированного объема финансирования мероприятий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 = (N1*100)/N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общ,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общ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общая численность граждан старше трудоспособного возраста и инвалидов, получающих услуги в рамках системы долговременного ухода;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N1 – общая численность граждан старше трудоспособного возраста и инвалидов, нуждающихся в долговременном уходе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1.2.2.1.1.1.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Данные отчетности КЦСОН Новосибирской области и государственных учреждений, подведомственных МТиСР. Порядок определения индивидуальной потребности граждан пожилого возраста и инвалидов, нуждающихся в постороннем уходе, при определении нуждаемости в социальном обслуживании, в том числе для включения в систему долговременного ухода, утвержден приказом МТиСР от 11.05.2021 № 392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26. 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 и с учетом запланированного объема финансирования мероприятий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 = (N1*100)/N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общ,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общ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общая численность граждан старше трудоспособного возраста и инвалидов, получивших социальные услуги в организациях социального обслуживания;</w:t>
            </w:r>
          </w:p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N1 – общая численность граждан старше трудоспособного возраста и инвалидов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1.2.2.1.1.1. 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Данные отчетности КЦСОН Новосибирской области и государственных учреждений, подведомственных МТиСР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П.4. Численность лиц в возрасте 65 лет и старше, которым оказан медико-социальный патронаж на дому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в соответствии с плановыми показателями результата предоставления гранта на оказание медико-социальных услуг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утвержденными соглашениями с частными медицинскими организациями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      </w:r>
          </w:p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общая численность лиц, в возрасте 65 лет и старше, являющихся гражданами Российской Федерации, в том числе проживающих в сельской местности, получивших медико-социальные услуги в 6 частных медицинских организациях, с которыми заключено соглашение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1.2.2.1.1.1. Мероприятие 1.2.2.1.1.1.13.</w:t>
            </w:r>
          </w:p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отчетов о достижении установленных при предоставлении гранта значений показателей результата предоставления гранта частными медицинскими организациями, оказывающими медико-социальные услуги лицам в возрасте 65 лет и старше, являющимся гражданами Российской Федерации, в том числе проживающим в сельской местности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27. 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2016-2021 годах в рамках реализации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100%  х  количество инвалидов, положительно оценивающих отношение населения к проблемам инвалидов / общая численность опрошенных инвалидов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О.1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О1.1,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 Основное мероприятие О.2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Мероприятия  О2.7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отчетности администраций муниципальных районов и городских округов Новосибирской области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28.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2023  году плановое значение устанавливается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соответствии с приложением № 1 к соглашению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реализации на территории НСО государственных программ субъекта РФ, направленных на достижение целей и показателей государственной программы РФ Государственная программа РФ «Доступная среда»  от 14.12.2022 № 2022-00728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= (К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уо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) / Р * 100,0%, где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vertAlign w:val="subscript"/>
                <w:lang w:val="ru-RU" w:bidi="ru-RU"/>
              </w:rPr>
              <w:t xml:space="preserve">до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- количество оборудованных социально значимых объектов социальной, транспортной,  инженерной инфраструктуры областной и муниципальной собственности, в которых обеспечен беспрепятственный доступ инвалидов и других маломобильных групп населения к объектам и услугам (нарастающим итогом с 2012 года по 31 декабря года, предшествующего отчетному – 704 объекта);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уо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количество приоритетных объектов областной и муниципальной собственности в социальной сфере и сфере занятости, в которых требуется обновление элементов доступности в связи с износом ранее установленного оборудования – 9 объектов;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- количество дооборудованных приоритетных объектов областной и муниципальной собственности в социальной сфере и сфере занятости в  отчетном году – 9 объектов;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- количество оборудованных социально значимых объектов социальной, транспортной,  инженерной инфраструктуры областной и муниципальной собственности в отчетном году - 0;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 - общее количество социально значимых приоритетных объектов социальной, транспортной, инженерной инфраструктуры областной и муниципальной собственности, подлежащих обустройству, включенных в реестр объектов социальной инфраструктуры  - 1038 объектов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1.2.3.1.1.1.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отчетности администраций муниципальных районов и городских округов Новосибирской области.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 01.01.2022 в реестр объектов социальной инфраструктуры включены 1 038 объектов. До 31.12.2022 оборудовано 704 приоритетных объекта. В 2023 году запланировано дооборудование 9 объектов в сфере социальной защиты и в сфере занятости населения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29. Доля приоритетных объектов, доступных для инвалидов и других маломобильных групп населения, в общем количестве приоритетных объектов в сфере социальной защиты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основании анализа фактических значений показателя за предыдущий период, в том числе в рамках реализации в 2014-2021 годах госпрограммы «Развитие системы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 и с учетом запланированного объема финансирования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= (К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уо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) / Р * 100,0%, где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зашиты;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 – количество приоритетных объектов в сфере социальной защиты, в которых обеспечен беспрепятственный доступ для инвалидов и маломобильных групп населения нарастающим итогом (с 2012 года по 31 декабря года, предшествующего отчетному – 180 объектов);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уо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количество приоритетных объектов в сфере социальной защиты, в которых требуется обновление элементов доступности в связи с износом ранее установленного оборудования – 5 объектов;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количество дооборудованных приоритетных объектов в сфере социальной защиты  в отчетном году – 5 объектов;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  <w:lang w:val="ru-RU" w:bidi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– количество оборудованных социально значимых объектов в сфере социальной защиты в отчетном году - 0;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 – общее количество социально значимых приоритетных объектов социальной инфраструктуры, подлежащих обустройству, включенных в реестр объектов социальной инфраструктуры – 185 объектов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1.2.3.1.1.1.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1) Реестр объектов социальной инфраструктуры с 01.01.2022 – 185 объектов;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2) отчетность администраций муниципальных районов и городских округов Новосибирской области;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3) ведомственная информация МТиСР.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приоритетных объектов, в которых требуется обновление элементов доступности, устанавливается в соответствии со сложившейся практикой эксплуатации социально значимых учреждений.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Из 185 приоритетных объектов на 01.01.2022 оборудовано 180, подлежит обустройству – 5. В 2023 году запланировано дооборудование 5 объектов в сфере социальной защиты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30. 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 (ежегодно)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Плановое и фактическое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: Общее количество инвалидов, получивших услуги по комплексной реабилитации в специализированном центре в отчетном году/ общее количества заявлений инвалидов, поданных на получение услуги по комплексной реабилитации в отчетном году и общее количество инвалидов, состоящих в очереди на получение услуги по комплексной реабилитации на 1 января отчетного года х 100%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trike/>
                <w:sz w:val="24"/>
                <w:szCs w:val="24"/>
                <w:u w:val="single"/>
                <w:lang w:val="ru-RU" w:bidi="ru-RU"/>
              </w:rPr>
            </w:pP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1.2.3.1.2.1.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1.2.3.1.2.1.4.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инвалидов, получивших услуги по комплексной реабилитации, имеющих нарушения опорно-двигательного аппарата  определяется на основе данных отчетности, предоставляемой специализированными центрами, учреждениями, организациями, оказывающими  услуги по комплексной реабилитации инвалидов, имеющих нарушения опорно-двигательного аппарата.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Общее количество инвалидов, обратившихся за услугой по комплексной реабилитации инвалидов, имеющих нарушения опорно-двигательного аппарата,  в течение года,  формируется на основании заявлений, поданных инвалидами, имеющими нарушения опорно-двигательного аппарата, в МТиСР в течение года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31. 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2023 год плановое значение устанавливается в соответствии с приложением № 1 к соглашению 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реализации на территории НСО государственных программ субъекта РФ, направленных на достижение целей и показателей государственной программы РФ Государственная программа РФ «Доступная среда»  от 14.12.2022 № 2022-00728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Значение определяется по формуле: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ДПРУв =Пв/Рв х 100, где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ДПРУв – доля инвалидов, в отношении которых проведены мероприятия по реабилитации и (или) абилитации;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Рв – общее количество инвалидов, имеющих рекомендации в индивидуальных программах реабилитации или абилитации;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Пв – количество инвалидов, получивших реабилитационные услуги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1.2.3.1.2.1.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Данные отчетности ОИОГВ Новосибирской области о ходе реализации плана мероприятий («дорожная карта») по повышению значений показателей доступности для инвалидов объектов и услуг, КЦСОН и подведомственных учреждений МТиСР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 использованием государственной информационной системы «Территориальная информационная система «Социальный портрет гражданина и Типизированное хранилище данных Новосибирской области»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32. 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На 2023 год плановое значение устанавливается в соответствии с соглашением 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реализации на территории НСО государственных программ субъекта РФ, направленных на достижение целей и показателей государственной программы РФ Государственная программа РФ «Доступная среда»  от 14.12.2022 № 2022-00728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Значение определяется по формуле: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ДПРУд = Пд/Рд х 100, где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ДПРУд – доля детей-инвалидов, в отношении которых проведены мероприятия по реабилитации и (или) абилитации;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Рд –  общее количество детей-инвалидов, имеющих рекомендации в индивидуальных программах реабилитации или абилитации;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Пд – количество детей-инвалидов, получивших реабилитационные услуги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1.2.3.1.2.1.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Данные отчетности ОИОГВ Новосибирской области о ходе реализации плана мероприятий («дорожная карта») по повышению значений показателей доступности для инвалидов объектов и услуг, КЦСОН и подведомственных учреждений МТиСР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 использованием государственной информационной системы «Территориальная информационная система «Социальный портрет гражданина и Типизированное хранилище данных Новосибирской области»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33. Объем просроченной задолженности по предоставлению социальных выплат отдельным категориям граждан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 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основании анализа ведомственной отчетности по форме 0503169 за предыдущий период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Сумма просроченной задолженности МТиСР по предоставлению социальных выплат отдельным категориям граждан на конец отчетного периода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Данные ведомственной отчетности по форме 0503169, утвержденной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      </w:r>
          </w:p>
        </w:tc>
      </w:tr>
      <w:tr>
        <w:trPr>
          <w:trHeight w:val="2760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34. Количество оказанной адресной социальной помощи малоимущим гражданам и  гражданам, оказавшимся в трудной жизненной ситуации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суммарное количество получателей планируемых выплат. Планируемое значение определятся на основе складывающихся фактических тенденций и с учетом прогнозируемой ситуации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суммарное количество получателей произведенных выплат по мероприятиям 1.2.4.1.1.2.1., 1.2.4.1.1.2.2.,1.2.4.1.1.2.3.,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1.2.4.1.1.2.5., 1.2.4.1.1.2.6.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 1.2.4.1.1.2.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Мероприятия  1.2.4.1.1.2.1., 1.2.4.1.1.2.2.,1.2.4.1.1.2.3.,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1.2.4.1.1.2.5., 1.2.4.1.1.2.6.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внутренних сведений, собираемых и формируемых МТиСР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35. 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значение определятся на основе складывающихся фактических тенденций и с учетом прогнозируемой ситуации</w:t>
            </w:r>
          </w:p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малоимущих граждан, охваченных государственной социальной помощью на основании социального контракта / общая численность малоимущих граждан в Новосибирской области *100,0%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 1.2.4.1.1.2.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1.2.4.1.1.2.3.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(заявок и отчетов) центров социальной поддержки населения Новосибирской области, подведомственных МТиСР. Общая численность малоимущих граждан определяется на основании данных Территориального органа Федеральной службы государственной статистики по Новосибирской области</w:t>
            </w: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36.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2023 году  плановое значение устанавливается в соответствии с приложением № 1 к соглашению о реализации на территории НСО государственных программ субъекта РФ, направленных на достижение целей и показателей государственной программы РФ Государственная программа РФ «Социальная поддержка граждан» от 14.12.2022 № 2022-00875</w:t>
            </w:r>
          </w:p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 / общая численность граждан, охваченных государственной социальной помощью на основании социального контракта *100,0%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 1.2.4.1.1.2.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1.2.4.1.1.2.3.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(заявок и отчетов) центров социальной поддержки населения Новосибирской области, подведомственных МТиСР 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33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37.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годовая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2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 конец периода</w:t>
            </w:r>
          </w:p>
        </w:tc>
        <w:tc>
          <w:tcPr>
            <w:tcW w:w="3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Плановые значения: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2023 году  плановое значение устанавливается в соответствии с приложением № 1 к соглашению о реализации на территории НСО государственных программ субъекта РФ, направленных на достижение целей и показателей государственной программы РФ Государственная программа РФ «Социальная поддержка граждан» от 14.12.2022 № 2022-00875</w:t>
            </w:r>
          </w:p>
          <w:p>
            <w:pPr>
              <w:pStyle w:val="Style_212"/>
              <w:spacing w:before="0"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Фактическое значение: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Новосибирской области, по окончании срока действия социального контракта / общая численность граждан, охваченных государственной социальной помощью на основании социального контракта *100,0%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Основное мероприятие  1.2.4.1.1.2.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Мероприятие 1.2.4.1.1.2.3.</w:t>
            </w:r>
          </w:p>
          <w:p>
            <w:pPr>
              <w:pStyle w:val="Style_215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Расчеты выполняются на основании данных (заявок и отчетов) центров социальной поддержки населения Новосибирской области, подведомственных МТиСР 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1 – плановые значения целевых индикаторов определены на основе показателей, сложившихся за 5 лет, предшествующих году начала реализации соответствующих мероприятий государственной программы, и объемов финансирования, запланированных на реализацию государственной программы на плановый период</w:t>
      </w:r>
    </w:p>
    <w:p>
      <w:pPr>
        <w:pStyle w:val="Style_212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</w:p>
    <w:p>
      <w:pPr>
        <w:pStyle w:val="Style_212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Применяемые сокращения: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КЦСОН – комплексные центры социального обслуживания населения;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МТиСР – министерство труда и социального развития Новосибирской области;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ОИОГВ – областные исполнительные органы государственной власти Новосибирской области – исполнители государственной программы;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госпрограмма «Развитие системы социальной поддержки населения» – государственная программа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утвержденная постановлением Правительства Новосибирской области от 31.07.2013 № 322-п;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Соглашение от 19.12.2022 № 2022-01105 – Соглашение от 19.12.2022 № 2022-01105 «О реализации на территории Новосибирской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 ».</w:t>
      </w:r>
    </w:p>
    <w:sectPr>
      <w:headerReference w:type="default" r:id="rId9"/>
      <w:footnotePr>
        <w:pos w:val="pageBottom"/>
      </w:footnotePr>
      <w:type w:val="nextPage"/>
      <w:pgSz w:w="16838" w:h="11906" w:orient="landscape"/>
      <w:pgMar w:top="1276" w:right="1134" w:bottom="567" w:left="1134" w:header="709" w:footer="709" w:gutter="0"/>
      <w:cols w:num="1"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4"/>
          <w:szCs w:val="24"/>
          <w:lang w:val="ru-RU" w:bidi="ru-RU"/>
        </w:rPr>
      </w:pPr>
      <w:r>
        <w:rPr>
          <w:rFonts w:ascii="Calibri" w:hAnsi="Calibri" w:eastAsia="Calibri" w:cs="Calibri"/>
          <w:sz w:val="24"/>
          <w:szCs w:val="24"/>
          <w:lang w:val="ru-RU" w:bidi="ru-RU"/>
        </w:rPr>
        <w:separator/>
      </w:r>
    </w:p>
  </w:endnote>
  <w:endnote w:type="continuationSeparator" w:id="1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4"/>
          <w:szCs w:val="24"/>
          <w:lang w:val="ru-RU" w:bidi="ru-RU"/>
        </w:rPr>
      </w:pPr>
      <w:r>
        <w:rPr>
          <w:rFonts w:ascii="Calibri" w:hAnsi="Calibri" w:eastAsia="Calibri" w:cs="Calibri"/>
          <w:sz w:val="24"/>
          <w:szCs w:val="24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 Tahoma">
    <w:panose1 w:val="020B0604030504040204"/>
  </w:font>
  <w:font w:name=" 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</w:p>
  </w:footnote>
  <w:footnote w:type="continuationSeparator" w:id="1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4"/>
          <w:szCs w:val="24"/>
          <w:lang w:val="ru-RU" w:bidi="ru-RU"/>
        </w:rPr>
      </w:pPr>
      <w:r>
        <w:rPr>
          <w:rFonts w:ascii="Calibri" w:hAnsi="Calibri" w:eastAsia="Calibri" w:cs="Calibri"/>
          <w:sz w:val="24"/>
          <w:szCs w:val="24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94"/>
      <w:tabs>
        <w:tab w:val="center" w:pos="4677"/>
        <w:tab w:val="right" w:pos="9355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sz w:val="24"/>
        <w:szCs w:val="24"/>
        <w:lang w:val="ru-RU" w:bidi="ru-RU"/>
      </w:rPr>
    </w:pPr>
    <w:r>
      <w:rPr>
        <w:rFonts w:ascii="Calibri" w:hAnsi="Calibri" w:eastAsia="Calibri" w:cs="Calibri"/>
        <w:sz w:val="24"/>
        <w:szCs w:val="24"/>
      </w:rPr>
      <w:fldChar w:fldCharType="begin"/>
    </w:r>
    <w:r>
      <w:rPr>
        <w:rFonts w:ascii="Calibri" w:hAnsi="Calibri" w:eastAsia="Calibri" w:cs="Calibri"/>
        <w:sz w:val="24"/>
        <w:szCs w:val="24"/>
      </w:rP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4"/>
        <w:szCs w:val="24"/>
      </w:rPr>
      <w:t xml:space="preserve">31</w:t>
    </w:r>
    <w:r>
      <w:fldChar w:fldCharType="end"/>
    </w:r>
  </w:p>
  <w:p>
    <w:pPr>
      <w:pStyle w:val="Style_194"/>
      <w:tabs>
        <w:tab w:val="center" w:pos="4677"/>
        <w:tab w:val="right" w:pos="9355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sz w:val="24"/>
        <w:szCs w:val="24"/>
        <w:lang w:val="ru-RU" w:bidi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*"/>
      <w:lvlJc w:val="left"/>
      <w:pPr>
        <w:ind w:left="108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suff w:val="tab"/>
      <w:lvlText w:val="*"/>
      <w:lvlJc w:val="left"/>
      <w:pPr>
        <w:ind w:left="180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bullet"/>
      <w:suff w:val="tab"/>
      <w:lvlText w:val="*"/>
      <w:lvlJc w:val="left"/>
      <w:pPr>
        <w:ind w:left="2520" w:hanging="36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bullet"/>
      <w:suff w:val="tab"/>
      <w:lvlText w:val="*"/>
      <w:lvlJc w:val="left"/>
      <w:pPr>
        <w:ind w:left="324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bullet"/>
      <w:suff w:val="tab"/>
      <w:lvlText w:val="*"/>
      <w:lvlJc w:val="left"/>
      <w:pPr>
        <w:ind w:left="396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bullet"/>
      <w:suff w:val="tab"/>
      <w:lvlText w:val="*"/>
      <w:lvlJc w:val="left"/>
      <w:pPr>
        <w:ind w:left="4680" w:hanging="36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bullet"/>
      <w:suff w:val="tab"/>
      <w:lvlText w:val="*"/>
      <w:lvlJc w:val="left"/>
      <w:pPr>
        <w:ind w:left="540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bullet"/>
      <w:suff w:val="tab"/>
      <w:lvlText w:val="*"/>
      <w:lvlJc w:val="left"/>
      <w:pPr>
        <w:ind w:left="612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bullet"/>
      <w:suff w:val="tab"/>
      <w:lvlText w:val="*"/>
      <w:lvlJc w:val="left"/>
      <w:pPr>
        <w:ind w:left="6840" w:hanging="36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">
    <w:multiLevelType w:val="hybridMultilevel"/>
    <w:lvl w:ilvl="0">
      <w:start w:val="2"/>
      <w:numFmt w:val="bullet"/>
      <w:suff w:val="tab"/>
      <w:lvlText w:val="*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suff w:val="tab"/>
      <w:lvlText w:val="*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bullet"/>
      <w:suff w:val="tab"/>
      <w:lvlText w:val="*"/>
      <w:lvlJc w:val="left"/>
      <w:pPr>
        <w:ind w:left="2160" w:hanging="36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bullet"/>
      <w:suff w:val="tab"/>
      <w:lvlText w:val="*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bullet"/>
      <w:suff w:val="tab"/>
      <w:lvlText w:val="*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bullet"/>
      <w:suff w:val="tab"/>
      <w:lvlText w:val="*"/>
      <w:lvlJc w:val="left"/>
      <w:pPr>
        <w:ind w:left="4320" w:hanging="36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bullet"/>
      <w:suff w:val="tab"/>
      <w:lvlText w:val="*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bullet"/>
      <w:suff w:val="tab"/>
      <w:lvlText w:val="*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bullet"/>
      <w:suff w:val="tab"/>
      <w:lvlText w:val="*"/>
      <w:lvlJc w:val="left"/>
      <w:pPr>
        <w:ind w:left="6480" w:hanging="36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">
    <w:multiLevelType w:val="hybridMultilevel"/>
    <w:lvl w:ilvl="0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3">
    <w:multiLevelType w:val="hybridMultilevel"/>
    <w:lvl w:ilvl="0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4">
    <w:multiLevelType w:val="hybridMultilevel"/>
    <w:lvl w:ilvl="0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5">
    <w:multiLevelType w:val="hybridMultilevel"/>
    <w:lvl w:ilvl="0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pageBottom"/>
    <w:footnote w:id="0"/>
    <w:footnote w:id="1"/>
  </w:footnotePr>
  <w:endnotePr>
    <w:pos w:val="sectEnd"/>
    <w:endnote w:id="0"/>
    <w:endnote w:id="1"/>
  </w:endnotePr>
  <w:compat>
    <w:forgetLastTabAlignment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4"/>
        <w:szCs w:val="24"/>
        <w:lang w:val="ru-RU" w:bidi="ru-RU"/>
      </w:rPr>
    </w:rPrDefault>
    <w:pPrDefault>
      <w:pPr>
        <w:spacing w:before="0" w:after="200" w:line="276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">
    <w:name w:val="heading 1"/>
    <w:basedOn w:val="Style_0"/>
    <w:qFormat/>
    <w:pPr>
      <w:spacing w:before="108" w:after="108" w:line="240" w:lineRule="auto"/>
      <w:ind w:left="0" w:right="0"/>
      <w:jc w:val="center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color w:val="000080"/>
      <w:sz w:val="24"/>
      <w:szCs w:val="24"/>
      <w:lang w:val="ru-RU" w:bidi="ru-RU"/>
    </w:rPr>
  </w:style>
  <w:style w:type="paragraph" w:styleId="Style_2">
    <w:name w:val="heading 2"/>
    <w:basedOn w:val="Style_0"/>
    <w:qFormat/>
    <w:pPr>
      <w:keepNext/>
      <w:keepLines/>
      <w:spacing w:before="360" w:after="200" w:line="240" w:lineRule="auto"/>
      <w:ind w:left="0" w:right="0"/>
      <w:jc w:val="left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34"/>
      <w:szCs w:val="34"/>
      <w:lang w:val="ru-RU" w:bidi="ru-RU"/>
    </w:rPr>
  </w:style>
  <w:style w:type="paragraph" w:styleId="Style_3">
    <w:name w:val="heading 3"/>
    <w:basedOn w:val="Style_0"/>
    <w:qFormat/>
    <w:pPr>
      <w:keepNext/>
      <w:keepLines/>
      <w:spacing w:before="320" w:after="200" w:line="240" w:lineRule="auto"/>
      <w:ind w:left="0" w:right="0"/>
      <w:jc w:val="left"/>
      <w:outlineLvl w:val="2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30"/>
      <w:szCs w:val="30"/>
      <w:lang w:val="ru-RU" w:bidi="ru-RU"/>
    </w:rPr>
  </w:style>
  <w:style w:type="paragraph" w:styleId="Style_4">
    <w:name w:val="heading 4"/>
    <w:basedOn w:val="Style_0"/>
    <w:qFormat/>
    <w:pPr>
      <w:keepNext/>
      <w:keepLines/>
      <w:spacing w:before="320" w:after="200" w:line="240" w:lineRule="auto"/>
      <w:ind w:left="0" w:right="0"/>
      <w:jc w:val="left"/>
      <w:outlineLvl w:val="3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6"/>
      <w:szCs w:val="26"/>
      <w:lang w:val="ru-RU" w:bidi="ru-RU"/>
    </w:rPr>
  </w:style>
  <w:style w:type="paragraph" w:styleId="Style_5">
    <w:name w:val="heading 5"/>
    <w:basedOn w:val="Style_0"/>
    <w:qFormat/>
    <w:pPr>
      <w:keepNext/>
      <w:keepLines/>
      <w:spacing w:before="320" w:after="200" w:line="240" w:lineRule="auto"/>
      <w:ind w:left="0" w:right="0"/>
      <w:jc w:val="left"/>
      <w:outlineLvl w:val="4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4"/>
      <w:szCs w:val="24"/>
      <w:lang w:val="ru-RU" w:bidi="ru-RU"/>
    </w:rPr>
  </w:style>
  <w:style w:type="paragraph" w:styleId="Style_6">
    <w:name w:val="heading 6"/>
    <w:basedOn w:val="Style_0"/>
    <w:qFormat/>
    <w:pPr>
      <w:keepNext/>
      <w:keepLines/>
      <w:spacing w:before="320" w:after="200" w:line="240" w:lineRule="auto"/>
      <w:ind w:left="0" w:right="0"/>
      <w:jc w:val="left"/>
      <w:outlineLvl w:val="5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2"/>
      <w:szCs w:val="22"/>
      <w:lang w:val="ru-RU" w:bidi="ru-RU"/>
    </w:rPr>
  </w:style>
  <w:style w:type="paragraph" w:styleId="Style_7">
    <w:name w:val="heading 7"/>
    <w:basedOn w:val="Style_0"/>
    <w:qFormat/>
    <w:pPr>
      <w:keepNext/>
      <w:keepLines/>
      <w:spacing w:before="320" w:after="200" w:line="240" w:lineRule="auto"/>
      <w:ind w:left="0" w:right="0"/>
      <w:jc w:val="left"/>
      <w:outlineLvl w:val="6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i/>
      <w:iCs/>
      <w:sz w:val="22"/>
      <w:szCs w:val="22"/>
      <w:lang w:val="ru-RU" w:bidi="ru-RU"/>
    </w:rPr>
  </w:style>
  <w:style w:type="paragraph" w:styleId="Style_8">
    <w:name w:val="heading 8"/>
    <w:basedOn w:val="Style_0"/>
    <w:qFormat/>
    <w:pPr>
      <w:keepNext/>
      <w:keepLines/>
      <w:spacing w:before="320" w:after="200" w:line="240" w:lineRule="auto"/>
      <w:ind w:left="0" w:right="0"/>
      <w:jc w:val="left"/>
      <w:outlineLvl w:val="7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i/>
      <w:iCs/>
      <w:sz w:val="22"/>
      <w:szCs w:val="22"/>
      <w:lang w:val="ru-RU" w:bidi="ru-RU"/>
    </w:rPr>
  </w:style>
  <w:style w:type="paragraph" w:styleId="Style_9">
    <w:name w:val="heading 9"/>
    <w:basedOn w:val="Style_0"/>
    <w:qFormat/>
    <w:pPr>
      <w:keepNext/>
      <w:keepLines/>
      <w:spacing w:before="320" w:after="200" w:line="240" w:lineRule="auto"/>
      <w:ind w:left="0" w:right="0"/>
      <w:jc w:val="left"/>
      <w:outlineLvl w:val="8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i/>
      <w:iCs/>
      <w:sz w:val="21"/>
      <w:szCs w:val="21"/>
      <w:lang w:val="ru-RU" w:bidi="ru-RU"/>
    </w:rPr>
  </w:style>
  <w:style w:type="character" w:styleId="Style_10">
    <w:name w:val="Default Paragraph Font"/>
    <w:unhideWhenUsed/>
    <w:rPr>
      <w:rFonts w:ascii="Calibri" w:hAnsi="Calibri" w:eastAsia="Calibri" w:cs="Calibri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character" w:styleId="Style_15">
    <w:name w:val="Заголовок 1 Знак1"/>
    <w:basedOn w:val="Style_10"/>
    <w:uiPriority w:val="0"/>
    <w:locked/>
    <w:rPr>
      <w:rFonts w:ascii="Arial" w:hAnsi="Arial" w:eastAsia="Arial" w:cs="Arial"/>
      <w:sz w:val="40"/>
      <w:szCs w:val="40"/>
      <w:lang w:val="ru-RU" w:bidi="ru-RU"/>
    </w:rPr>
  </w:style>
  <w:style w:type="character" w:styleId="Style_16">
    <w:name w:val="Заголовок 2 Знак"/>
    <w:basedOn w:val="Style_10"/>
    <w:uiPriority w:val="9"/>
    <w:semiHidden/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character" w:styleId="Style_17">
    <w:name w:val="Заголовок 2 Знак1"/>
    <w:basedOn w:val="Style_10"/>
    <w:locked/>
    <w:rPr>
      <w:rFonts w:ascii="Arial" w:hAnsi="Arial" w:eastAsia="Arial" w:cs="Arial"/>
      <w:sz w:val="34"/>
      <w:szCs w:val="34"/>
      <w:lang w:val="ru-RU" w:bidi="ru-RU"/>
    </w:rPr>
  </w:style>
  <w:style w:type="character" w:styleId="Style_18">
    <w:name w:val="Заголовок 3 Знак"/>
    <w:basedOn w:val="Style_10"/>
    <w:uiPriority w:val="9"/>
    <w:semiHidden/>
    <w:rPr>
      <w:rFonts w:ascii="Cambria" w:hAnsi="Cambria" w:eastAsia="Cambria" w:cs="Cambria"/>
      <w:b/>
      <w:bCs/>
      <w:sz w:val="26"/>
      <w:szCs w:val="26"/>
      <w:lang w:val="ru-RU" w:bidi="ru-RU"/>
    </w:rPr>
  </w:style>
  <w:style w:type="character" w:styleId="Style_19">
    <w:name w:val="Заголовок 3 Знак1"/>
    <w:basedOn w:val="Style_10"/>
    <w:locked/>
    <w:rPr>
      <w:rFonts w:ascii="Arial" w:hAnsi="Arial" w:eastAsia="Arial" w:cs="Arial"/>
      <w:sz w:val="30"/>
      <w:szCs w:val="30"/>
      <w:lang w:val="ru-RU" w:bidi="ru-RU"/>
    </w:rPr>
  </w:style>
  <w:style w:type="character" w:styleId="Style_20">
    <w:name w:val="Заголовок 4 Знак"/>
    <w:basedOn w:val="Style_10"/>
    <w:uiPriority w:val="9"/>
    <w:semiHidden/>
    <w:rPr>
      <w:rFonts w:ascii="Calibri" w:hAnsi="Calibri" w:eastAsia="Calibri" w:cs="Calibri"/>
      <w:b/>
      <w:bCs/>
      <w:sz w:val="28"/>
      <w:szCs w:val="28"/>
      <w:lang w:val="ru-RU" w:bidi="ru-RU"/>
    </w:rPr>
  </w:style>
  <w:style w:type="character" w:styleId="Style_21">
    <w:name w:val="Заголовок 4 Знак1"/>
    <w:basedOn w:val="Style_10"/>
    <w:locked/>
    <w:rPr>
      <w:rFonts w:ascii="Arial" w:hAnsi="Arial" w:eastAsia="Arial" w:cs="Arial"/>
      <w:b/>
      <w:bCs/>
      <w:sz w:val="26"/>
      <w:szCs w:val="26"/>
      <w:lang w:val="ru-RU" w:bidi="ru-RU"/>
    </w:rPr>
  </w:style>
  <w:style w:type="character" w:styleId="Style_22">
    <w:name w:val="Заголовок 5 Знак"/>
    <w:basedOn w:val="Style_10"/>
    <w:uiPriority w:val="9"/>
    <w:semiHidden/>
    <w:rPr>
      <w:rFonts w:ascii="Calibri" w:hAnsi="Calibri" w:eastAsia="Calibri" w:cs="Calibri"/>
      <w:b/>
      <w:bCs/>
      <w:i/>
      <w:iCs/>
      <w:sz w:val="26"/>
      <w:szCs w:val="26"/>
      <w:lang w:val="ru-RU" w:bidi="ru-RU"/>
    </w:rPr>
  </w:style>
  <w:style w:type="character" w:styleId="Style_23">
    <w:name w:val="Заголовок 5 Знак1"/>
    <w:basedOn w:val="Style_10"/>
    <w:locked/>
    <w:rPr>
      <w:rFonts w:ascii="Arial" w:hAnsi="Arial" w:eastAsia="Arial" w:cs="Arial"/>
      <w:b/>
      <w:bCs/>
      <w:sz w:val="24"/>
      <w:szCs w:val="24"/>
      <w:lang w:val="ru-RU" w:bidi="ru-RU"/>
    </w:rPr>
  </w:style>
  <w:style w:type="character" w:styleId="Style_24">
    <w:name w:val="Заголовок 6 Знак"/>
    <w:basedOn w:val="Style_10"/>
    <w:uiPriority w:val="9"/>
    <w:semiHidden/>
    <w:rPr>
      <w:rFonts w:ascii="Calibri" w:hAnsi="Calibri" w:eastAsia="Calibri" w:cs="Calibri"/>
      <w:b/>
      <w:bCs/>
      <w:sz w:val="22"/>
      <w:szCs w:val="22"/>
      <w:lang w:val="ru-RU" w:bidi="ru-RU"/>
    </w:rPr>
  </w:style>
  <w:style w:type="character" w:styleId="Style_25">
    <w:name w:val="Заголовок 6 Знак1"/>
    <w:basedOn w:val="Style_10"/>
    <w:locked/>
    <w:rPr>
      <w:rFonts w:ascii="Arial" w:hAnsi="Arial" w:eastAsia="Arial" w:cs="Arial"/>
      <w:b/>
      <w:bCs/>
      <w:sz w:val="22"/>
      <w:szCs w:val="22"/>
      <w:lang w:val="ru-RU" w:bidi="ru-RU"/>
    </w:rPr>
  </w:style>
  <w:style w:type="character" w:styleId="Style_26">
    <w:name w:val="Заголовок 7 Знак"/>
    <w:basedOn w:val="Style_10"/>
    <w:uiPriority w:val="9"/>
    <w:semiHidden/>
    <w:rPr>
      <w:rFonts w:ascii="Calibri" w:hAnsi="Calibri" w:eastAsia="Calibri" w:cs="Calibri"/>
      <w:sz w:val="24"/>
      <w:szCs w:val="24"/>
      <w:lang w:val="ru-RU" w:bidi="ru-RU"/>
    </w:rPr>
  </w:style>
  <w:style w:type="character" w:styleId="Style_27">
    <w:name w:val="Заголовок 7 Знак1"/>
    <w:basedOn w:val="Style_10"/>
    <w:locked/>
    <w:rPr>
      <w:rFonts w:ascii="Arial" w:hAnsi="Arial" w:eastAsia="Arial" w:cs="Arial"/>
      <w:b/>
      <w:bCs/>
      <w:i/>
      <w:iCs/>
      <w:sz w:val="22"/>
      <w:szCs w:val="22"/>
      <w:lang w:val="ru-RU" w:bidi="ru-RU"/>
    </w:rPr>
  </w:style>
  <w:style w:type="character" w:styleId="Style_28">
    <w:name w:val="Заголовок 8 Знак"/>
    <w:basedOn w:val="Style_10"/>
    <w:uiPriority w:val="9"/>
    <w:semiHidden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29">
    <w:name w:val="Заголовок 8 Знак1"/>
    <w:basedOn w:val="Style_10"/>
    <w:locked/>
    <w:rPr>
      <w:rFonts w:ascii="Arial" w:hAnsi="Arial" w:eastAsia="Arial" w:cs="Arial"/>
      <w:i/>
      <w:iCs/>
      <w:sz w:val="22"/>
      <w:szCs w:val="22"/>
      <w:lang w:val="ru-RU" w:bidi="ru-RU"/>
    </w:rPr>
  </w:style>
  <w:style w:type="character" w:styleId="Style_30">
    <w:name w:val="Заголовок 9 Знак"/>
    <w:basedOn w:val="Style_10"/>
    <w:uiPriority w:val="9"/>
    <w:semiHidden/>
    <w:rPr>
      <w:rFonts w:ascii="Cambria" w:hAnsi="Cambria" w:eastAsia="Cambria" w:cs="Cambria"/>
      <w:sz w:val="22"/>
      <w:szCs w:val="22"/>
      <w:lang w:val="ru-RU" w:bidi="ru-RU"/>
    </w:rPr>
  </w:style>
  <w:style w:type="character" w:styleId="Style_31">
    <w:name w:val="Заголовок 9 Знак1"/>
    <w:basedOn w:val="Style_10"/>
    <w:locked/>
    <w:rPr>
      <w:rFonts w:ascii="Arial" w:hAnsi="Arial" w:eastAsia="Arial" w:cs="Arial"/>
      <w:i/>
      <w:iCs/>
      <w:sz w:val="21"/>
      <w:szCs w:val="21"/>
      <w:lang w:val="ru-RU" w:bidi="ru-RU"/>
    </w:rPr>
  </w:style>
  <w:style w:type="paragraph" w:styleId="Style_32">
    <w:name w:val="Title"/>
    <w:basedOn w:val="Style_0"/>
    <w:qFormat/>
    <w:pPr>
      <w:spacing w:before="300" w:after="200" w:line="240" w:lineRule="auto"/>
      <w:ind w:left="0" w:right="0"/>
      <w:contextualSpacing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48"/>
      <w:szCs w:val="48"/>
      <w:lang w:val="ru-RU" w:bidi="ru-RU"/>
    </w:rPr>
  </w:style>
  <w:style w:type="character" w:styleId="Style_33">
    <w:name w:val="Название Знак"/>
    <w:basedOn w:val="Style_10"/>
    <w:uiPriority w:val="10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Style_34">
    <w:name w:val="Название Знак1"/>
    <w:basedOn w:val="Style_10"/>
    <w:locked/>
    <w:rPr>
      <w:rFonts w:ascii="Calibri" w:hAnsi="Calibri" w:eastAsia="Calibri" w:cs="Calibri"/>
      <w:sz w:val="48"/>
      <w:szCs w:val="48"/>
      <w:lang w:val="ru-RU" w:bidi="ru-RU"/>
    </w:rPr>
  </w:style>
  <w:style w:type="paragraph" w:styleId="Style_35">
    <w:name w:val="Subtitle"/>
    <w:basedOn w:val="Style_0"/>
    <w:qFormat/>
    <w:pPr>
      <w:spacing w:before="200" w:after="20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36">
    <w:name w:val="Подзаголовок Знак"/>
    <w:basedOn w:val="Style_10"/>
    <w:uiPriority w:val="11"/>
    <w:rPr>
      <w:rFonts w:ascii="Cambria" w:hAnsi="Cambria" w:eastAsia="Cambria" w:cs="Cambria"/>
      <w:sz w:val="24"/>
      <w:szCs w:val="24"/>
      <w:lang w:val="ru-RU" w:bidi="ru-RU"/>
    </w:rPr>
  </w:style>
  <w:style w:type="character" w:styleId="Style_37">
    <w:name w:val="Подзаголовок Знак1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paragraph" w:styleId="Style_38">
    <w:name w:val="Quote"/>
    <w:basedOn w:val="Style_0"/>
    <w:qFormat/>
    <w:pPr>
      <w:spacing w:before="0" w:after="0" w:line="240" w:lineRule="auto"/>
      <w:ind w:left="720" w:right="72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i/>
      <w:iCs/>
      <w:sz w:val="24"/>
      <w:szCs w:val="24"/>
      <w:lang w:val="ru-RU" w:bidi="ru-RU"/>
    </w:rPr>
  </w:style>
  <w:style w:type="paragraph" w:styleId="Style_39">
    <w:name w:val="Intense Quote"/>
    <w:basedOn w:val="Style_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 w:right="720"/>
      <w:contextualSpacing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40">
    <w:name w:val="Цитата 2 Знак"/>
    <w:locked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41">
    <w:name w:val="Верхний колонтитул Знак1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character" w:styleId="Style_42">
    <w:name w:val="Выделенная цитата Знак"/>
    <w:locked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43">
    <w:name w:val="Footer Char"/>
    <w:basedOn w:val="Style_10"/>
    <w:rPr>
      <w:rFonts w:ascii="Calibri" w:hAnsi="Calibri" w:eastAsia="Calibri" w:cs="Calibri"/>
      <w:sz w:val="24"/>
      <w:szCs w:val="24"/>
      <w:lang w:val="ru-RU" w:bidi="ru-RU"/>
    </w:rPr>
  </w:style>
  <w:style w:type="paragraph" w:styleId="Style_44">
    <w:name w:val="caption"/>
    <w:basedOn w:val="Style_0"/>
    <w:qFormat/>
    <w:pPr>
      <w:spacing w:before="0" w:after="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color w:val="4f81bd"/>
      <w:sz w:val="18"/>
      <w:szCs w:val="18"/>
      <w:lang w:val="ru-RU" w:bidi="ru-RU"/>
    </w:rPr>
  </w:style>
  <w:style w:type="character" w:styleId="Style_45">
    <w:name w:val="Нижний колонтитул Знак1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table" w:styleId="Style_46">
    <w:name w:val="Table Grid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47">
    <w:name w:val="Table Grid Ligh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48">
    <w:name w:val="Plain Table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49">
    <w:name w:val="Plain Table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50">
    <w:name w:val="Plain Table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Plain Table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Plain Table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1 Ligh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1 Light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1 Light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1 Light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1 Light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1 Light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1 Light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2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2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2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2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2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2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3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9">
    <w:name w:val="Grid Table 3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0">
    <w:name w:val="Grid Table 3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1">
    <w:name w:val="Grid Table 3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2">
    <w:name w:val="Grid Table 3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3">
    <w:name w:val="Grid Table 3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4">
    <w:name w:val="Grid Table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5">
    <w:name w:val="Grid Table 4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4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4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4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4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4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5 Dark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5 Dark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5 Dark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5 Dark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5 Dark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5 Dark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5 Dark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6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Grid Table 6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Grid Table 6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Grid Table 6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Grid Table 6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Grid Table 6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Grid Table 6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Grid Table 7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Grid Table 7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Grid Table 7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Grid Table 7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Grid Table 7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Grid Table 7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Grid Table 7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1 Ligh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1 Light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1 Light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1 Light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1 Light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1 Light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1 Light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2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2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2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2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2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2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3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List Table 3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List Table 3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0">
    <w:name w:val="List Table 3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1">
    <w:name w:val="List Table 3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2">
    <w:name w:val="List Table 3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3">
    <w:name w:val="List Table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4">
    <w:name w:val="List Table 4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4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4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4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4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4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5 Dark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5 Dark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5 Dark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5 Dark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5 Dark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5 Dark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5 Dark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6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st Table 6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st Table 6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st Table 6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st Table 6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st Table 6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st Table 6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st Table 7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List Table 7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List Table 7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List Table 7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List Table 7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List Table 7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List Table 7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Lined - Accen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Lined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Lined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Lined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Lined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Lined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Lined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&amp; Lined - Accen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9">
    <w:name w:val="Bordered &amp; Lined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0">
    <w:name w:val="Bordered &amp; Lined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1">
    <w:name w:val="Bordered &amp; Lined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2">
    <w:name w:val="Bordered &amp; Lined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3">
    <w:name w:val="Bordered &amp; Lined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4">
    <w:name w:val="Bordered &amp; Lined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5">
    <w:name w:val="Bordered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6">
    <w:name w:val="Bordered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7">
    <w:name w:val="Bordered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8">
    <w:name w:val="Bordered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9">
    <w:name w:val="Bordered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0">
    <w:name w:val="Bordered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1">
    <w:name w:val="Bordered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paragraph" w:styleId="Style_172">
    <w:name w:val="footnote text"/>
    <w:basedOn w:val="Style_0"/>
    <w:semiHidden/>
    <w:unhideWhenUsed/>
    <w:pPr>
      <w:spacing w:before="0" w:after="4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18"/>
      <w:szCs w:val="18"/>
      <w:lang w:val="ru-RU" w:bidi="ru-RU"/>
    </w:rPr>
  </w:style>
  <w:style w:type="character" w:styleId="Style_173">
    <w:name w:val="footnote reference"/>
    <w:basedOn w:val="Style_10"/>
    <w:unhideWhenUsed/>
    <w:rPr>
      <w:rFonts w:ascii="Calibri" w:hAnsi="Calibri" w:eastAsia="Calibri" w:cs="Calibri"/>
      <w:sz w:val="24"/>
      <w:szCs w:val="24"/>
      <w:vertAlign w:val="superscript"/>
      <w:lang w:val="ru-RU" w:bidi="ru-RU"/>
    </w:rPr>
  </w:style>
  <w:style w:type="character" w:styleId="Style_174">
    <w:name w:val="Текст сноски Знак"/>
    <w:locked/>
    <w:rPr>
      <w:rFonts w:ascii="Calibri" w:hAnsi="Calibri" w:eastAsia="Calibri" w:cs="Calibri"/>
      <w:sz w:val="18"/>
      <w:szCs w:val="18"/>
      <w:lang w:val="ru-RU" w:bidi="ru-RU"/>
    </w:rPr>
  </w:style>
  <w:style w:type="paragraph" w:styleId="Style_175">
    <w:name w:val="endnote text"/>
    <w:basedOn w:val="Style_0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176">
    <w:name w:val="endnote reference"/>
    <w:basedOn w:val="Style_10"/>
    <w:semiHidden/>
    <w:unhideWhenUsed/>
    <w:rPr>
      <w:rFonts w:ascii="Calibri" w:hAnsi="Calibri" w:eastAsia="Calibri" w:cs="Calibri"/>
      <w:sz w:val="24"/>
      <w:szCs w:val="24"/>
      <w:vertAlign w:val="superscript"/>
      <w:lang w:val="ru-RU" w:bidi="ru-RU"/>
    </w:rPr>
  </w:style>
  <w:style w:type="character" w:styleId="Style_177">
    <w:name w:val="Текст концевой сноски Знак"/>
    <w:locked/>
    <w:rPr>
      <w:rFonts w:ascii="Calibri" w:hAnsi="Calibri" w:eastAsia="Calibri" w:cs="Calibri"/>
      <w:sz w:val="20"/>
      <w:szCs w:val="20"/>
      <w:lang w:val="ru-RU" w:bidi="ru-RU"/>
    </w:rPr>
  </w:style>
  <w:style w:type="paragraph" w:styleId="Style_178">
    <w:name w:val="toc 1"/>
    <w:basedOn w:val="Style_0"/>
    <w:unhideWhenUsed/>
    <w:pPr>
      <w:spacing w:before="0" w:after="57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79">
    <w:name w:val="toc 2"/>
    <w:basedOn w:val="Style_0"/>
    <w:unhideWhenUsed/>
    <w:pPr>
      <w:spacing w:before="0" w:after="57" w:line="240" w:lineRule="auto"/>
      <w:ind w:left="283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0">
    <w:name w:val="toc 3"/>
    <w:basedOn w:val="Style_0"/>
    <w:unhideWhenUsed/>
    <w:pPr>
      <w:spacing w:before="0" w:after="57" w:line="240" w:lineRule="auto"/>
      <w:ind w:left="567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1">
    <w:name w:val="toc 4"/>
    <w:basedOn w:val="Style_0"/>
    <w:unhideWhenUsed/>
    <w:pPr>
      <w:spacing w:before="0" w:after="57" w:line="240" w:lineRule="auto"/>
      <w:ind w:left="85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2">
    <w:name w:val="toc 5"/>
    <w:basedOn w:val="Style_0"/>
    <w:unhideWhenUsed/>
    <w:pPr>
      <w:spacing w:before="0" w:after="57" w:line="240" w:lineRule="auto"/>
      <w:ind w:left="1134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3">
    <w:name w:val="toc 6"/>
    <w:basedOn w:val="Style_0"/>
    <w:unhideWhenUsed/>
    <w:pPr>
      <w:spacing w:before="0" w:after="57" w:line="240" w:lineRule="auto"/>
      <w:ind w:left="1417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4">
    <w:name w:val="toc 7"/>
    <w:basedOn w:val="Style_0"/>
    <w:unhideWhenUsed/>
    <w:pPr>
      <w:spacing w:before="0" w:after="57" w:line="240" w:lineRule="auto"/>
      <w:ind w:left="1701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5">
    <w:name w:val="toc 8"/>
    <w:basedOn w:val="Style_0"/>
    <w:unhideWhenUsed/>
    <w:pPr>
      <w:spacing w:before="0" w:after="57" w:line="240" w:lineRule="auto"/>
      <w:ind w:left="1984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6">
    <w:name w:val="toc 9"/>
    <w:basedOn w:val="Style_0"/>
    <w:unhideWhenUsed/>
    <w:pPr>
      <w:spacing w:before="0" w:after="57" w:line="240" w:lineRule="auto"/>
      <w:ind w:left="2268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187">
    <w:name w:val="Заголовок 1 Знак"/>
    <w:basedOn w:val="Style_10"/>
    <w:rPr>
      <w:rFonts w:ascii="Arial" w:hAnsi="Arial" w:eastAsia="Arial" w:cs="Arial"/>
      <w:b/>
      <w:bCs/>
      <w:color w:val="000080"/>
      <w:sz w:val="24"/>
      <w:szCs w:val="24"/>
      <w:lang w:val="ru-RU" w:bidi="ru-RU"/>
    </w:rPr>
  </w:style>
  <w:style w:type="paragraph" w:styleId="Style_188">
    <w:name w:val="TOC Heading"/>
    <w:basedOn w:val="Style_1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89">
    <w:name w:val="table of figures"/>
    <w:basedOn w:val="Style_0"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90">
    <w:name w:val="Обычный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91">
    <w:name w:val="No Spacing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192">
    <w:name w:val="Без интервала Знак"/>
    <w:rPr>
      <w:rFonts w:ascii="Calibri" w:hAnsi="Calibri" w:eastAsia="Calibri" w:cs="Calibri"/>
      <w:sz w:val="24"/>
      <w:szCs w:val="24"/>
      <w:lang w:val="ru-RU" w:bidi="ru-RU"/>
    </w:rPr>
  </w:style>
  <w:style w:type="paragraph" w:styleId="Style_193">
    <w:name w:val="ConsPlusCel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8"/>
      <w:szCs w:val="28"/>
      <w:lang w:val="ru-RU" w:bidi="ru-RU"/>
    </w:rPr>
  </w:style>
  <w:style w:type="paragraph" w:styleId="Style_194">
    <w:name w:val="header"/>
    <w:basedOn w:val="Style_0"/>
    <w:unhideWhenUsed/>
    <w:pPr>
      <w:tabs>
        <w:tab w:val="center" w:pos="4677"/>
        <w:tab w:val="right" w:pos="9355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195">
    <w:name w:val="Верхний колонтитул Знак"/>
    <w:basedOn w:val="Style_10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196">
    <w:name w:val="footer"/>
    <w:basedOn w:val="Style_0"/>
    <w:unhideWhenUsed/>
    <w:pPr>
      <w:tabs>
        <w:tab w:val="center" w:pos="4677"/>
        <w:tab w:val="right" w:pos="9355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197">
    <w:name w:val="Нижний колонтитул Знак"/>
    <w:basedOn w:val="Style_10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198">
    <w:name w:val="Body Text"/>
    <w:basedOn w:val="Style_0"/>
    <w:pPr>
      <w:spacing w:before="0" w:after="12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199">
    <w:name w:val="Основной текст Знак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paragraph" w:styleId="Style_200">
    <w:name w:val="Style4"/>
    <w:basedOn w:val="Style_0"/>
    <w:pPr>
      <w:spacing w:before="0" w:after="0" w:line="251" w:lineRule="exact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201">
    <w:name w:val="Font Style12"/>
    <w:rPr>
      <w:rFonts w:ascii="Times New Roman" w:hAnsi="Times New Roman" w:eastAsia="Times New Roman" w:cs="Times New Roman"/>
      <w:color w:val="000000"/>
      <w:sz w:val="18"/>
      <w:szCs w:val="18"/>
      <w:lang w:val="ru-RU" w:bidi="ru-RU"/>
    </w:rPr>
  </w:style>
  <w:style w:type="paragraph" w:styleId="Style_202">
    <w:name w:val="ConsPlusNonformat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 Courier New" w:hAnsi=" Courier New" w:eastAsia=" Courier New" w:cs=" Courier New"/>
      <w:sz w:val="20"/>
      <w:szCs w:val="20"/>
      <w:lang w:val="ru-RU" w:bidi="ru-RU"/>
    </w:rPr>
  </w:style>
  <w:style w:type="paragraph" w:styleId="Style_203">
    <w:name w:val="Знак Знак 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 Tahoma" w:hAnsi=" Tahoma" w:eastAsia=" Tahoma" w:cs=" Tahoma"/>
      <w:sz w:val="20"/>
      <w:szCs w:val="20"/>
      <w:lang w:val="ru-RU" w:bidi="ru-RU"/>
    </w:rPr>
  </w:style>
  <w:style w:type="paragraph" w:styleId="Style_204">
    <w:name w:val="Balloon Text"/>
    <w:basedOn w:val="Style_0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 Tahoma" w:hAnsi=" Tahoma" w:eastAsia=" Tahoma" w:cs=" Tahoma"/>
      <w:sz w:val="16"/>
      <w:szCs w:val="16"/>
      <w:lang w:val="ru-RU" w:bidi="ru-RU"/>
    </w:rPr>
  </w:style>
  <w:style w:type="character" w:styleId="Style_205">
    <w:name w:val="Текст выноски Знак"/>
    <w:basedOn w:val="Style_10"/>
    <w:semiHidden/>
    <w:locked/>
    <w:rPr>
      <w:rFonts w:ascii=" Tahoma" w:hAnsi=" Tahoma" w:eastAsia=" Tahoma" w:cs=" Tahoma"/>
      <w:sz w:val="16"/>
      <w:szCs w:val="16"/>
      <w:lang w:val="ru-RU" w:bidi="ru-RU"/>
    </w:rPr>
  </w:style>
  <w:style w:type="character" w:styleId="Style_206">
    <w:name w:val="Placeholder Text"/>
    <w:basedOn w:val="Style_10"/>
    <w:semiHidden/>
    <w:rPr>
      <w:rFonts w:ascii="Calibri" w:hAnsi="Calibri" w:eastAsia="Calibri" w:cs="Calibri"/>
      <w:color w:val="808080"/>
      <w:sz w:val="24"/>
      <w:szCs w:val="24"/>
      <w:lang w:val="ru-RU" w:bidi="ru-RU"/>
    </w:rPr>
  </w:style>
  <w:style w:type="character" w:styleId="Style_207">
    <w:name w:val="annotation reference"/>
    <w:basedOn w:val="Style_10"/>
    <w:semiHidden/>
    <w:unhideWhenUsed/>
    <w:rPr>
      <w:rFonts w:ascii="Calibri" w:hAnsi="Calibri" w:eastAsia="Calibri" w:cs="Calibri"/>
      <w:sz w:val="16"/>
      <w:szCs w:val="16"/>
      <w:lang w:val="ru-RU" w:bidi="ru-RU"/>
    </w:rPr>
  </w:style>
  <w:style w:type="paragraph" w:styleId="Style_208">
    <w:name w:val="annotation text"/>
    <w:basedOn w:val="Style_0"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209">
    <w:name w:val="Текст примечания Знак"/>
    <w:basedOn w:val="Style_10"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210">
    <w:name w:val="annotation subject"/>
    <w:basedOn w:val="Style_208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sz w:val="20"/>
      <w:szCs w:val="20"/>
      <w:lang w:val="ru-RU" w:bidi="ru-RU"/>
    </w:rPr>
  </w:style>
  <w:style w:type="character" w:styleId="Style_211">
    <w:name w:val="Тема примечания Знак"/>
    <w:basedOn w:val="Style_209"/>
    <w:semiHidden/>
    <w:locked/>
    <w:rPr>
      <w:rFonts w:ascii="Times New Roman" w:hAnsi="Times New Roman" w:eastAsia="Times New Roman" w:cs="Times New Roman"/>
      <w:b/>
      <w:bCs/>
      <w:sz w:val="20"/>
      <w:szCs w:val="20"/>
      <w:lang w:val="ru-RU" w:bidi="ru-RU"/>
    </w:rPr>
  </w:style>
  <w:style w:type="paragraph" w:styleId="Style_212">
    <w:name w:val="ConsPlusNorma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character" w:styleId="Style_213">
    <w:name w:val="ConsPlusNormal Знак"/>
    <w:rPr>
      <w:rFonts w:ascii="Arial" w:hAnsi="Arial" w:eastAsia="Arial" w:cs="Arial"/>
      <w:sz w:val="24"/>
      <w:szCs w:val="24"/>
      <w:lang w:val="ru-RU" w:bidi="ru-RU"/>
    </w:rPr>
  </w:style>
  <w:style w:type="paragraph" w:styleId="Style_214">
    <w:name w:val="List Paragraph"/>
    <w:basedOn w:val="Style_0"/>
    <w:qFormat/>
    <w:pPr>
      <w:spacing w:before="0" w:after="0" w:line="240" w:lineRule="auto"/>
      <w:ind w:left="720" w:right="0"/>
      <w:contextualSpacing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15">
    <w:name w:val="Body Text 2"/>
    <w:basedOn w:val="Style_0"/>
    <w:unhideWhenUsed/>
    <w:pPr>
      <w:spacing w:before="0" w:after="120" w:line="48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216">
    <w:name w:val="Основной текст 2 Знак"/>
    <w:basedOn w:val="Style_10"/>
    <w:lock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Style_217">
    <w:name w:val="Hyperlink"/>
    <w:basedOn w:val="Style_10"/>
    <w:unhideWhenUsed/>
    <w:rPr>
      <w:rFonts w:ascii="Calibri" w:hAnsi="Calibri" w:eastAsia="Calibri" w:cs="Calibri"/>
      <w:color w:val="0000ff"/>
      <w:sz w:val="24"/>
      <w:szCs w:val="24"/>
      <w:u w:val="single"/>
      <w:lang w:val="ru-RU" w:bidi="ru-RU"/>
    </w:rPr>
  </w:style>
  <w:style w:type="character" w:styleId="Style_218">
    <w:name w:val="FollowedHyperlink"/>
    <w:basedOn w:val="Style_10"/>
    <w:rPr>
      <w:rFonts w:ascii="Calibri" w:hAnsi="Calibri" w:eastAsia="Calibri" w:cs="Calibri"/>
      <w:color w:val="800080"/>
      <w:sz w:val="24"/>
      <w:szCs w:val="24"/>
      <w:u w:val="single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tsr.nso.ru/page/56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WithSpaces>48821</CharactersWithSpaces>
  <DocSecurity>0</DocSecurity>
  <HyperlinksChanged>false</HyperlinksChanged>
  <LinksUpToDate>false</LinksUpToDate>
  <Pages>31</Pages>
  <ScaleCrop>false</ScaleCrop>
  <SharedDoc>false</SharedDoc>
  <TotalTime>3</TotalTime>
  <Words>8564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</dc:creator>
  <cp:lastModifiedBy/>
</cp:coreProperties>
</file>