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ПРИЛОЖЕНИЕ № 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62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left="1049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«Комплексное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P805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ОСНОВНЫЕ МЕРОПРИЯТИЯ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«Комплексное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сельских территорий в 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43"/>
        <w:gridCol w:w="1496"/>
        <w:gridCol w:w="631"/>
        <w:gridCol w:w="448"/>
        <w:gridCol w:w="469"/>
        <w:gridCol w:w="467"/>
        <w:gridCol w:w="1045"/>
        <w:gridCol w:w="996"/>
        <w:gridCol w:w="992"/>
        <w:gridCol w:w="1134"/>
        <w:gridCol w:w="1701"/>
        <w:gridCol w:w="2268"/>
      </w:tblGrid>
      <w:tr>
        <w:tblPrEx/>
        <w:trPr>
          <w:trHeight w:val="408"/>
        </w:trPr>
        <w:tc>
          <w:tcPr>
            <w:tcW w:w="22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9"/>
            <w:tcW w:w="7678" w:type="dxa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Ресурсное обеспечение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 (ответственный исполнитель)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Ожидаемый результат (краткое описание)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450"/>
        </w:trPr>
        <w:tc>
          <w:tcPr>
            <w:tcW w:w="22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Код бюджетной классификации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gridSpan w:val="4"/>
            <w:tcW w:w="416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 годам реализации, тыс.руб.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ГРБС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ГП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пГП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ОМ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2020 год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2021 год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2022 год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год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243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1.1.1. Улучшение жилищных условий </w:t>
            </w:r>
            <w:r>
              <w:rPr>
                <w:rFonts w:ascii="Times New Roman" w:hAnsi="Times New Roman" w:cs="Times New Roman"/>
                <w:sz w:val="20"/>
              </w:rPr>
              <w:t xml:space="preserve">граждан, проживающих на сельских территориях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48 175,1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48 175,1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48 707,4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49242,4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Минсельхоз НСО, органы местного </w:t>
            </w:r>
            <w:r>
              <w:rPr>
                <w:rFonts w:ascii="Times New Roman" w:hAnsi="Times New Roman" w:cs="Times New Roman"/>
                <w:sz w:val="20"/>
              </w:rPr>
              <w:t xml:space="preserve">самоуправления муниципальных образований Новосибирской области (по согласованию)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2020 - 2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23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гг</w:t>
            </w:r>
            <w:r>
              <w:rPr>
                <w:rFonts w:ascii="Times New Roman" w:hAnsi="Times New Roman" w:cs="Times New Roman"/>
                <w:sz w:val="20"/>
              </w:rPr>
              <w:t xml:space="preserve">. будет осуществлено </w:t>
            </w:r>
            <w:r>
              <w:rPr>
                <w:rFonts w:ascii="Times New Roman" w:hAnsi="Times New Roman" w:cs="Times New Roman"/>
                <w:sz w:val="20"/>
              </w:rPr>
              <w:t xml:space="preserve">строительство жилья для граждан, проживающих в сельской местности, в объем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е 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6,667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ты</w:t>
            </w:r>
            <w:r>
              <w:rPr>
                <w:rFonts w:ascii="Times New Roman" w:hAnsi="Times New Roman" w:cs="Times New Roman"/>
                <w:sz w:val="20"/>
              </w:rPr>
              <w:t xml:space="preserve">с. кв. м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>
          <w:trHeight w:val="656"/>
        </w:trPr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60 809,9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22 379,0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27867,3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13079,5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источники***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67157,3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71479,0</w:t>
            </w:r>
            <w:r>
              <w:rPr>
                <w:rFonts w:ascii="Times New Roman" w:hAnsi="Times New Roman" w:cs="Times New Roman"/>
                <w:sz w:val="20"/>
                <w:highlight w:val="cyan"/>
              </w:rPr>
            </w:r>
            <w:r>
              <w:rPr>
                <w:rFonts w:ascii="Times New Roman" w:hAnsi="Times New Roman" w:cs="Times New Roman"/>
                <w:sz w:val="20"/>
                <w:highlight w:val="cy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69 810,06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1.1.2. Строительство жилья, предоставляемого по договору найма жилого помещения гражданам, проживающим на сельских территориях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4 744,0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675,4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12997,0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cyan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cyan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Минсельхоз НСО, органы местного самоуправления муниципальных образований Новосибирской области (по согласованию),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период 2020 </w:t>
            </w:r>
            <w:r>
              <w:rPr>
                <w:rFonts w:ascii="Times New Roman" w:hAnsi="Times New Roman" w:cs="Times New Roman"/>
                <w:sz w:val="20"/>
              </w:rPr>
              <w:t xml:space="preserve">–</w:t>
            </w:r>
            <w:r>
              <w:rPr>
                <w:rFonts w:ascii="Times New Roman" w:hAnsi="Times New Roman" w:cs="Times New Roman"/>
                <w:sz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22</w:t>
            </w:r>
            <w:r>
              <w:rPr>
                <w:rFonts w:ascii="Times New Roman" w:hAnsi="Times New Roman" w:cs="Times New Roman"/>
                <w:sz w:val="20"/>
              </w:rPr>
              <w:t xml:space="preserve">гг.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объем жилья, предоставляемого по договору коммерческого найма гражданам, проживающим в сельско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й местности, составит 1,43 тыс. кв. м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green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green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16 816,4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16 207,6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23 112,8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1 347,0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1 040,9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4 147,4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cyan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cyan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4 042,0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3 012,3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4 378,8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highlight w:val="cyan"/>
              </w:rPr>
            </w:r>
            <w:r>
              <w:rPr>
                <w:rFonts w:ascii="Times New Roman" w:hAnsi="Times New Roman" w:cs="Times New Roman"/>
                <w:sz w:val="20"/>
                <w:highlight w:val="cyan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408"/>
        </w:trPr>
        <w:tc>
          <w:tcPr>
            <w:tcW w:w="22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.1.3. Строительство (приобретение) жилья на сельских территориях, предоставляемого по договору найма жилого помещения гражданам,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проживающим на сельских территориях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4 735,8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Минсельхоз НСО, органы местного самоуправления муниципальных образований Новосибирской области (по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согласованию),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В 2023 г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. строительство (приобретение) жилья, предоставляемого по договору коммерческого найма гражданам, проживающим в сельской местности,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составит 0,165 тыс. кв. м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  <w:highlight w:val="green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highlight w:val="green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green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green"/>
              </w:rPr>
            </w:r>
          </w:p>
        </w:tc>
      </w:tr>
      <w:tr>
        <w:tblPrEx/>
        <w:trPr>
          <w:trHeight w:val="450"/>
        </w:trPr>
        <w:tc>
          <w:tcPr>
            <w:tcW w:w="22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6 675,8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0"/>
        </w:trPr>
        <w:tc>
          <w:tcPr>
            <w:tcW w:w="22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718,4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0"/>
        </w:trPr>
        <w:tc>
          <w:tcPr>
            <w:tcW w:w="22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2135,2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0"/>
        </w:trPr>
        <w:tc>
          <w:tcPr>
            <w:tcW w:w="22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1.1.4. Реализация проектов по обустройству объектами инженерной инфраструктуры и благоустройству площадок, расположенных на сельских территориях, под комплексную жилищную застройку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28 382,0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13 646,0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25 582,0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14 275,1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Минсельхоз НСО, органы местного самоуправления муниципальных образований Новосибирской области (по согласованию)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2021 году будет реализован 1 проект п</w:t>
            </w:r>
            <w:r>
              <w:rPr>
                <w:rFonts w:ascii="Times New Roman" w:hAnsi="Times New Roman" w:cs="Times New Roman"/>
                <w:sz w:val="20"/>
              </w:rPr>
              <w:t xml:space="preserve">о благоустройству площадок под компактную жилищную застройку в р.п. Маслянино Маслянинского района, в рамках данного проекта в 2021 году в соответствии с графиком будет введен 1 объект по строительству дороги внутри микрорайона Молодежного р.п. Маслянино. 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100 624,4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60 406,3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24 117,1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96 056,1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6 790,0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3 897,5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2 548,5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5790,9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12"/>
            <w:tcW w:w="13889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  <w:outlineLvl w:val="3"/>
            </w:pPr>
            <w:r>
              <w:rPr>
                <w:rFonts w:ascii="Times New Roman" w:hAnsi="Times New Roman" w:cs="Times New Roman"/>
                <w:sz w:val="20"/>
              </w:rPr>
              <w:t xml:space="preserve">1.2. Задача 2 государственной программы «Создание условий для повышения обеспеченности сельскохозяйственных товаропроизводителей квалифицированными кадрами»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1.2.1. Подготовка квалифицированных кадров для сельскохозяйственных </w:t>
            </w:r>
            <w:r>
              <w:rPr>
                <w:rFonts w:ascii="Times New Roman" w:hAnsi="Times New Roman" w:cs="Times New Roman"/>
                <w:sz w:val="20"/>
              </w:rPr>
              <w:t xml:space="preserve">товаропроизводителей, осуществляющих деятельность на сельских территориях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1 484,7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547,2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552,8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551,4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Минсельхоз НСО,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организации, К(Ф)Х и индивидуальные </w:t>
            </w:r>
            <w:r>
              <w:rPr>
                <w:rFonts w:ascii="Times New Roman" w:hAnsi="Times New Roman" w:cs="Times New Roman"/>
                <w:sz w:val="20"/>
              </w:rPr>
              <w:t xml:space="preserve">предприниматели, осуществляющие сельскохозяйственное производство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2020 году будет оказана государственная поддержка сельхозтоваропроизводи</w:t>
            </w:r>
            <w:r>
              <w:rPr>
                <w:rFonts w:ascii="Times New Roman" w:hAnsi="Times New Roman" w:cs="Times New Roman"/>
                <w:sz w:val="20"/>
              </w:rPr>
              <w:t xml:space="preserve">телям на обучение 12 работников по ученическим договорам, на привлечение студентов для прохождения практики в количестве 319 </w:t>
            </w:r>
            <w:r>
              <w:rPr>
                <w:rFonts w:ascii="Times New Roman" w:hAnsi="Times New Roman" w:cs="Times New Roman"/>
                <w:sz w:val="20"/>
              </w:rPr>
              <w:t xml:space="preserve">человек. За период 2021 - 2022 гг. будет оказана государственная поддержка сельхозтоваропроизводителям на обучение 20 работников по ученическим договорам, на привлечение студентов для прохождения производственной практики ежегодно в количестве 319 человек.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2023 году ч</w:t>
            </w:r>
            <w:r>
              <w:rPr>
                <w:rFonts w:ascii="Times New Roman" w:hAnsi="Times New Roman" w:cs="Times New Roman"/>
                <w:sz w:val="20"/>
              </w:rPr>
              <w:t xml:space="preserve">исленность специалистов, прошедши</w:t>
            </w:r>
            <w:r>
              <w:rPr>
                <w:rFonts w:ascii="Times New Roman" w:hAnsi="Times New Roman" w:cs="Times New Roman"/>
                <w:sz w:val="20"/>
              </w:rPr>
              <w:t xml:space="preserve">х обучение, составит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sz w:val="20"/>
              </w:rPr>
              <w:t xml:space="preserve"> 19 человек, численность специалистов, привлеченных на работу на сельские территории, составит 264 человек, что будет способствовать обеспечению сельхозорганизаций высококвалифицированными кадрами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5 257,0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11 343,5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13 263,6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11049,5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источники**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1321,2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1535,1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2118,8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gridSpan w:val="12"/>
            <w:tcW w:w="13889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  <w:outlineLvl w:val="3"/>
            </w:pPr>
            <w:r>
              <w:rPr>
                <w:rFonts w:ascii="Times New Roman" w:hAnsi="Times New Roman" w:cs="Times New Roman"/>
                <w:sz w:val="20"/>
              </w:rPr>
              <w:t xml:space="preserve">1.3. Задача 3 государственной программы «Формирование современного облика сельских территорий»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1.3.1 Развитие инженерной инфраструктуры на сельских территориях, на которых реализуются инвестиционные проекты в сфере агропромышленного комплекса</w:t>
            </w:r>
            <w:r>
              <w:rPr>
                <w:rFonts w:ascii="Times New Roman" w:hAnsi="Times New Roman" w:cs="Times New Roman"/>
                <w:sz w:val="20"/>
              </w:rPr>
              <w:t xml:space="preserve">&lt;</w:t>
            </w:r>
            <w:hyperlink w:tooltip="#P1439" w:anchor="P1439" w:history="1">
              <w:r>
                <w:rPr>
                  <w:rFonts w:ascii="Times New Roman" w:hAnsi="Times New Roman" w:cs="Times New Roman"/>
                  <w:sz w:val="20"/>
                </w:rPr>
                <w:t xml:space="preserve">*</w:t>
              </w:r>
            </w:hyperlink>
            <w:r>
              <w:t xml:space="preserve">&gt;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96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областной бюджет,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tooltip="#P1440" w:anchor="P1440" w:history="1">
              <w:r>
                <w:rPr>
                  <w:rFonts w:ascii="Times New Roman" w:hAnsi="Times New Roman" w:cs="Times New Roman"/>
                  <w:sz w:val="20"/>
                </w:rPr>
                <w:t xml:space="preserve">**</w:t>
              </w:r>
            </w:hyperlink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60 483,8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Минсельхоз НСО;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МЖКХиЭ НСО;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органы местного самоуправления муниципальных образований Новосибирской области (по согласованию)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2020 год будут достигнуты следующие результаты: увеличена протяженность распределительных газовых сетей и локальных водопроводов в сельской местности.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Начиная с 2021 года реализация мероприятия будет осуществляться в рамках основного мероприятия 1.3.4 «Реализация проектов комплексного развития сельских территорий»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47 383,3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573"/>
        </w:trPr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13 100,5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федеральный бюджет,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tooltip="#P1440" w:anchor="P1440" w:history="1">
              <w:r>
                <w:rPr>
                  <w:rFonts w:ascii="Times New Roman" w:hAnsi="Times New Roman" w:cs="Times New Roman"/>
                  <w:sz w:val="20"/>
                </w:rPr>
                <w:t xml:space="preserve">**</w:t>
              </w:r>
            </w:hyperlink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34 564,0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21 463,5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13 100,5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hyperlink w:tooltip="#P1440" w:anchor="P1440" w:history="1">
              <w:r>
                <w:rPr>
                  <w:rFonts w:ascii="Times New Roman" w:hAnsi="Times New Roman" w:cs="Times New Roman"/>
                  <w:sz w:val="20"/>
                </w:rPr>
                <w:t xml:space="preserve">**</w:t>
              </w:r>
            </w:hyperlink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4 590,9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1.3.2. Развитие транспортной инфраструктуры на сельских территориях</w:t>
            </w:r>
            <w:r>
              <w:rPr>
                <w:highlight w:val="white"/>
              </w:rPr>
              <w:t xml:space="preserve"> &lt;*&gt;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областной бюджет</w:t>
            </w:r>
            <w:hyperlink w:tooltip="#P1440" w:anchor="P1440" w:history="1">
              <w:r>
                <w:rPr>
                  <w:rFonts w:ascii="Times New Roman" w:hAnsi="Times New Roman" w:cs="Times New Roman"/>
                  <w:sz w:val="20"/>
                  <w:highlight w:val="white"/>
                </w:rPr>
                <w:t xml:space="preserve">**</w:t>
              </w:r>
            </w:hyperlink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176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61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144 693,5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172 466,4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Минсельхоз НСО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Минтранс НСО, ГКУ НСО «ТУАД»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В 2020 году.</w:t>
            </w:r>
            <w:r>
              <w:rPr>
                <w:rFonts w:ascii="Times New Roman" w:hAnsi="Times New Roman" w:cs="Times New Roman" w:eastAsiaTheme="minorHAnsi"/>
                <w:sz w:val="20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будет введено в эксплуатацию 12,49 км, в 2023 году 3,794 км автомобильных дорог регионального и межмуниципального значения.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hyperlink w:tooltip="#P1440" w:anchor="P1440" w:history="1">
              <w:r>
                <w:rPr>
                  <w:rFonts w:ascii="Times New Roman" w:hAnsi="Times New Roman" w:cs="Times New Roman"/>
                  <w:sz w:val="20"/>
                </w:rPr>
                <w:t xml:space="preserve">**</w:t>
              </w:r>
            </w:hyperlink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176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235 662,1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118 708,8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hyperlink w:tooltip="#P1440" w:anchor="P1440" w:history="1">
              <w:r>
                <w:rPr>
                  <w:rFonts w:ascii="Times New Roman" w:hAnsi="Times New Roman" w:cs="Times New Roman"/>
                  <w:sz w:val="20"/>
                </w:rPr>
                <w:t xml:space="preserve">**</w:t>
              </w:r>
            </w:hyperlink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1.3.3. Реализация общественно значимых </w:t>
            </w:r>
            <w:r>
              <w:rPr>
                <w:rFonts w:ascii="Times New Roman" w:hAnsi="Times New Roman" w:cs="Times New Roman"/>
                <w:sz w:val="20"/>
              </w:rPr>
              <w:t xml:space="preserve">проектов по благоустройству сельских территорий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2 074,0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12 411,7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20 661,7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20 642,7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Минсельхоз НСО, органы местного </w:t>
            </w:r>
            <w:r>
              <w:rPr>
                <w:rFonts w:ascii="Times New Roman" w:hAnsi="Times New Roman" w:cs="Times New Roman"/>
                <w:sz w:val="20"/>
              </w:rPr>
              <w:t xml:space="preserve">самоуправления муниципальных образований НСО (по согласованию), юридические лица и индивидуальные предприниматели всех форм собственности (во взаимодействии)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период с 2020 по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г. будет реализовано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137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общественно значимых проектов по благоустройству в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138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поселениях </w:t>
            </w:r>
            <w:r>
              <w:rPr>
                <w:rFonts w:ascii="Times New Roman" w:hAnsi="Times New Roman" w:cs="Times New Roman"/>
                <w:sz w:val="20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7 352,4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7 607,0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25 444,6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25 260,8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676,0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4 932,2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10 767,6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15 950,9</w:t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highlight w:val="yellow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3 401,2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7 624,3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13 362,8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15 705,9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yellow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839"/>
        </w:trPr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1.3.4. Реализация проектов комплексного развития сельских территорий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148 920,0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113 920,9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295 780,9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421 144,1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Минсельхоз НСО, Минздрав НСО, органы местного самоуправления муниципальных образований НСО (по согласованию), юридические лица и индивидуальные предприниматели всех форм собственности (во взаимодействии)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 период с 2020 по 2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23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г. будет реализовано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37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 проектов комплексного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развития сельских территорий в Новосибирской области. В 2021 году будет разработана проектная документация для реализации 10 проектов комплексного развития сельских территорий в Новосибирской области.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792,0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225,7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527 986,6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573 204,9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666 991,0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1 335 167,9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2 808,0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1 874,3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3 488,5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11 491,1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4 484,6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14 638,2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26 026,6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35 455,7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61 077,7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46 709,0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>
          <w:trHeight w:val="615"/>
        </w:trPr>
        <w:tc>
          <w:tcPr>
            <w:tcW w:w="2243" w:type="dxa"/>
            <w:vMerge w:val="restart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по государственной </w:t>
            </w:r>
            <w:r>
              <w:rPr>
                <w:rFonts w:ascii="Times New Roman" w:hAnsi="Times New Roman" w:cs="Times New Roman"/>
                <w:sz w:val="20"/>
              </w:rPr>
              <w:t xml:space="preserve">программе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48 175,1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48 175,1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48 707,4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49 242,4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4 744,0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675,4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12 997,0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4 735,9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28 382,0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13 646,0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25 582,0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14 275,1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1 484,7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547,2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552,8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551,4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2 074,0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12 411,7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20 661,7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20 642,7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148 920,0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113 920,9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295 780,9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 xml:space="preserve">421 144,1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областной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792,0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225,7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60 809,9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22 379,0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27 867,3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13079,5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16 816,4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16 207,6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23 112,8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6675,8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100 624,4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60 406,3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24 117,1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96 056,1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02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5 257,0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11 343,5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13 263,6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11 049,5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7 352,4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7 607,0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25 444,6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highlight w:val="white"/>
              </w:rPr>
              <w:t xml:space="preserve">25 260,8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036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527 986,6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573 346,6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666 991,0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1 335 167,9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федеральный бюджет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06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2 808,0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1 874,3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0,0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>
          <w:trHeight w:val="1063"/>
        </w:trPr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местные бюджеты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12 301,5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21 361,7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21 948,1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37 098,4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  <w:p>
            <w:pPr>
              <w:pStyle w:val="898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33 469,81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46 092,3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78 802,3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64 550,1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налоговые расходы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  <w:tr>
        <w:tblPrEx/>
        <w:trPr/>
        <w:tc>
          <w:tcPr>
            <w:tcW w:w="2243" w:type="dxa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Справочно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496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внебюджетные источники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&lt;</w:t>
            </w:r>
            <w:r>
              <w:rPr>
                <w:rFonts w:ascii="Times New Roman" w:hAnsi="Times New Roman" w:cs="Times New Roman"/>
                <w:sz w:val="20"/>
              </w:rPr>
              <w:t xml:space="preserve">**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&gt;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63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4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46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10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119 462,7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W w:w="99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68 478,5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73 014.1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71 928,9</w:t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898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  <w:r>
              <w:rPr>
                <w:rFonts w:ascii="Times New Roman" w:hAnsi="Times New Roman" w:cs="Times New Roman"/>
                <w:color w:val="ff0000"/>
                <w:sz w:val="20"/>
              </w:rPr>
            </w:r>
          </w:p>
        </w:tc>
      </w:tr>
    </w:tbl>
    <w:p>
      <w:pPr>
        <w:tabs>
          <w:tab w:val="left" w:pos="303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&gt;</w:t>
      </w:r>
      <w:r>
        <w:rPr>
          <w:rFonts w:ascii="Times New Roman" w:hAnsi="Times New Roman" w:cs="Times New Roman"/>
          <w:sz w:val="24"/>
          <w:szCs w:val="24"/>
        </w:rPr>
        <w:t xml:space="preserve"> Реализация основного мероприятия осуществляется в рамках государственных программ Новосибирской области: «</w:t>
      </w:r>
      <w:hyperlink r:id="rId10" w:tooltip="consultantplus://offline/ref=AF68410BC0CAF21247CA6FFC87D6EAA9CA8554851944E49D5C85DC205F7C63E0C9F6259EEAC29011A2CEDD5019B54258610671F26D96FC4A11A3A6F0UAp8C" w:history="1">
        <w:r>
          <w:rPr>
            <w:rFonts w:ascii="Times New Roman" w:hAnsi="Times New Roman" w:cs="Times New Roman"/>
            <w:sz w:val="24"/>
            <w:szCs w:val="24"/>
          </w:rPr>
          <w:t xml:space="preserve">Жилищно-коммунальное хозяйство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области», утвержденной постановлением Правительства Новосибирской области от 16.02.2015 N 66-п «Об утверждении государственной программы Новосибирской области «Жилищно-коммунальное хозяйство Новосибирской области»; «</w:t>
      </w:r>
      <w:hyperlink r:id="rId11" w:tooltip="consultantplus://offline/ref=AF68410BC0CAF21247CA6FFC87D6EAA9CA8554851944E49F548CDC205F7C63E0C9F6259EEAC29011A6CADD561DB54258610671F26D96FC4A11A3A6F0UAp8C" w:history="1">
        <w:r>
          <w:rPr>
            <w:rFonts w:ascii="Times New Roman" w:hAnsi="Times New Roman" w:cs="Times New Roman"/>
            <w:sz w:val="24"/>
            <w:szCs w:val="24"/>
          </w:rPr>
          <w:t xml:space="preserve">Развитие автомобильных дорог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регионального, межмуниципального и местного значения в Новосибирской области», у</w:t>
      </w:r>
      <w:r>
        <w:rPr>
          <w:rFonts w:ascii="Times New Roman" w:hAnsi="Times New Roman" w:cs="Times New Roman"/>
          <w:sz w:val="24"/>
          <w:szCs w:val="24"/>
        </w:rPr>
        <w:t xml:space="preserve">твержденной постановлением Правительства Новосибирской области от 23.01.2015 N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spacing w:before="220"/>
        <w:rPr>
          <w:rFonts w:ascii="Times New Roman" w:hAnsi="Times New Roman" w:cs="Times New Roman"/>
          <w:sz w:val="24"/>
          <w:szCs w:val="24"/>
        </w:rPr>
      </w:pPr>
      <w:r/>
      <w:bookmarkStart w:id="2" w:name="P1440"/>
      <w:r/>
      <w:bookmarkEnd w:id="2"/>
      <w:r>
        <w:rPr>
          <w:rFonts w:ascii="Times New Roman" w:hAnsi="Times New Roman" w:cs="Times New Roman"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**</w:t>
      </w:r>
      <w:r>
        <w:rPr>
          <w:rFonts w:ascii="Times New Roman" w:hAnsi="Times New Roman" w:cs="Times New Roman"/>
          <w:sz w:val="24"/>
          <w:szCs w:val="24"/>
        </w:rPr>
        <w:t xml:space="preserve">&gt;</w:t>
      </w:r>
      <w:r>
        <w:rPr>
          <w:rFonts w:ascii="Times New Roman" w:hAnsi="Times New Roman" w:cs="Times New Roman"/>
          <w:sz w:val="24"/>
          <w:szCs w:val="24"/>
        </w:rPr>
        <w:t xml:space="preserve"> Объемы средств указаны справочно.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3" w:name="P1441"/>
      <w:r/>
      <w:bookmarkEnd w:id="3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Применяемые сокращения: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ГКУ НСО «ТУАД» - государственное казенное учреждение Новосибирской области «Территориальное управление автомобильных дорог Новосибирской области»;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ГП - код государственной программы;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ГРБС - код главного распорядителя бюджетных средств;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МЖКХиЭ НСО - министерство жилищно-коммунального хозяйства и энергетики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Минсельхоз НСО - министерство сельского хозяйства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Минтранс НСО - министерство транспорта и дорожного хозяйства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Минздрав НСО -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Новосибирской области;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ОМ - код основного мероприятия;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К(Ф)Х - крестьянские (фермерские) хозяйства;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пГП - код подраздела государственной программы.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98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98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_________»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both"/>
        <w:spacing w:before="220"/>
        <w:rPr>
          <w:rFonts w:ascii="Times New Roman" w:hAnsi="Times New Roman" w:cs="Times New Roman"/>
          <w:sz w:val="28"/>
          <w:szCs w:val="24"/>
        </w:rPr>
      </w:pPr>
      <w:r/>
      <w:bookmarkStart w:id="4" w:name="P1439"/>
      <w:r/>
      <w:bookmarkEnd w:id="4"/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6840" w:h="11906" w:orient="landscape"/>
      <w:pgMar w:top="1134" w:right="567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39395300"/>
      <w:docPartObj>
        <w:docPartGallery w:val="Page Numbers (Top of Page)"/>
        <w:docPartUnique w:val="true"/>
      </w:docPartObj>
      <w:rPr/>
    </w:sdtPr>
    <w:sdtContent>
      <w:p>
        <w:pPr>
          <w:pStyle w:val="900"/>
          <w:jc w:val="center"/>
        </w:pPr>
        <w:r/>
        <w:r/>
      </w:p>
      <w:p>
        <w:pPr>
          <w:pStyle w:val="90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5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20027386"/>
      <w:docPartObj>
        <w:docPartGallery w:val="Page Numbers (Top of Page)"/>
        <w:docPartUnique w:val="true"/>
      </w:docPartObj>
      <w:rPr/>
    </w:sdtPr>
    <w:sdtContent>
      <w:p>
        <w:pPr>
          <w:pStyle w:val="900"/>
          <w:jc w:val="center"/>
        </w:pPr>
        <w:r/>
        <w:r/>
      </w:p>
    </w:sdtContent>
  </w:sdt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04">
    <w:name w:val="Heading 2 Char"/>
    <w:basedOn w:val="728"/>
    <w:link w:val="720"/>
    <w:uiPriority w:val="9"/>
    <w:rPr>
      <w:rFonts w:ascii="Arial" w:hAnsi="Arial" w:eastAsia="Arial" w:cs="Arial"/>
      <w:sz w:val="34"/>
    </w:rPr>
  </w:style>
  <w:style w:type="character" w:styleId="705">
    <w:name w:val="Heading 3 Char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06">
    <w:name w:val="Heading 4 Char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07">
    <w:name w:val="Heading 5 Char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08">
    <w:name w:val="Heading 6 Char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09">
    <w:name w:val="Heading 7 Char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8 Char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11">
    <w:name w:val="Heading 9 Char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728"/>
    <w:link w:val="742"/>
    <w:uiPriority w:val="10"/>
    <w:rPr>
      <w:sz w:val="48"/>
      <w:szCs w:val="48"/>
    </w:rPr>
  </w:style>
  <w:style w:type="character" w:styleId="713">
    <w:name w:val="Subtitle Char"/>
    <w:basedOn w:val="728"/>
    <w:link w:val="744"/>
    <w:uiPriority w:val="11"/>
    <w:rPr>
      <w:sz w:val="24"/>
      <w:szCs w:val="24"/>
    </w:rPr>
  </w:style>
  <w:style w:type="character" w:styleId="714">
    <w:name w:val="Quote Char"/>
    <w:link w:val="746"/>
    <w:uiPriority w:val="29"/>
    <w:rPr>
      <w:i/>
    </w:rPr>
  </w:style>
  <w:style w:type="character" w:styleId="715">
    <w:name w:val="Intense Quote Char"/>
    <w:link w:val="748"/>
    <w:uiPriority w:val="30"/>
    <w:rPr>
      <w:i/>
    </w:rPr>
  </w:style>
  <w:style w:type="character" w:styleId="716">
    <w:name w:val="Footnote Text Char"/>
    <w:link w:val="881"/>
    <w:uiPriority w:val="99"/>
    <w:rPr>
      <w:sz w:val="18"/>
    </w:rPr>
  </w:style>
  <w:style w:type="character" w:styleId="717">
    <w:name w:val="Endnote Text Char"/>
    <w:link w:val="884"/>
    <w:uiPriority w:val="99"/>
    <w:rPr>
      <w:sz w:val="20"/>
    </w:rPr>
  </w:style>
  <w:style w:type="paragraph" w:styleId="718" w:default="1">
    <w:name w:val="Normal"/>
    <w:qFormat/>
  </w:style>
  <w:style w:type="paragraph" w:styleId="719">
    <w:name w:val="Heading 1"/>
    <w:basedOn w:val="718"/>
    <w:next w:val="71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0">
    <w:name w:val="Heading 2"/>
    <w:basedOn w:val="718"/>
    <w:next w:val="718"/>
    <w:link w:val="73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1">
    <w:name w:val="Heading 3"/>
    <w:basedOn w:val="718"/>
    <w:next w:val="718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2">
    <w:name w:val="Heading 4"/>
    <w:basedOn w:val="718"/>
    <w:next w:val="718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718"/>
    <w:next w:val="718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718"/>
    <w:next w:val="718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5">
    <w:name w:val="Heading 7"/>
    <w:basedOn w:val="718"/>
    <w:next w:val="718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6">
    <w:name w:val="Heading 8"/>
    <w:basedOn w:val="718"/>
    <w:next w:val="718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7">
    <w:name w:val="Heading 9"/>
    <w:basedOn w:val="718"/>
    <w:next w:val="71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Заголовок 1 Знак"/>
    <w:basedOn w:val="728"/>
    <w:link w:val="719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Заголовок 2 Знак"/>
    <w:basedOn w:val="728"/>
    <w:link w:val="720"/>
    <w:uiPriority w:val="9"/>
    <w:rPr>
      <w:rFonts w:ascii="Arial" w:hAnsi="Arial" w:eastAsia="Arial" w:cs="Arial"/>
      <w:sz w:val="34"/>
    </w:rPr>
  </w:style>
  <w:style w:type="character" w:styleId="733" w:customStyle="1">
    <w:name w:val="Заголовок 3 Знак"/>
    <w:basedOn w:val="728"/>
    <w:link w:val="721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Заголовок 4 Знак"/>
    <w:basedOn w:val="728"/>
    <w:link w:val="722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Заголовок 5 Знак"/>
    <w:basedOn w:val="72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character" w:styleId="736" w:customStyle="1">
    <w:name w:val="Заголовок 6 Знак"/>
    <w:basedOn w:val="728"/>
    <w:link w:val="724"/>
    <w:uiPriority w:val="9"/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Заголовок 7 Знак"/>
    <w:basedOn w:val="728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8" w:customStyle="1">
    <w:name w:val="Заголовок 8 Знак"/>
    <w:basedOn w:val="728"/>
    <w:link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9" w:customStyle="1">
    <w:name w:val="Заголовок 9 Знак"/>
    <w:basedOn w:val="72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718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after="0" w:line="240" w:lineRule="auto"/>
    </w:pPr>
  </w:style>
  <w:style w:type="paragraph" w:styleId="742">
    <w:name w:val="Title"/>
    <w:basedOn w:val="718"/>
    <w:next w:val="718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Заголовок Знак"/>
    <w:basedOn w:val="728"/>
    <w:link w:val="742"/>
    <w:uiPriority w:val="10"/>
    <w:rPr>
      <w:sz w:val="48"/>
      <w:szCs w:val="48"/>
    </w:rPr>
  </w:style>
  <w:style w:type="paragraph" w:styleId="744">
    <w:name w:val="Subtitle"/>
    <w:basedOn w:val="718"/>
    <w:next w:val="718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28"/>
    <w:link w:val="744"/>
    <w:uiPriority w:val="11"/>
    <w:rPr>
      <w:sz w:val="24"/>
      <w:szCs w:val="24"/>
    </w:rPr>
  </w:style>
  <w:style w:type="paragraph" w:styleId="746">
    <w:name w:val="Quote"/>
    <w:basedOn w:val="718"/>
    <w:next w:val="718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18"/>
    <w:next w:val="718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8"/>
    <w:uiPriority w:val="99"/>
  </w:style>
  <w:style w:type="character" w:styleId="751" w:customStyle="1">
    <w:name w:val="Footer Char"/>
    <w:basedOn w:val="728"/>
    <w:uiPriority w:val="99"/>
  </w:style>
  <w:style w:type="paragraph" w:styleId="752">
    <w:name w:val="Caption"/>
    <w:basedOn w:val="718"/>
    <w:next w:val="71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3" w:customStyle="1">
    <w:name w:val="Caption Char"/>
    <w:uiPriority w:val="99"/>
  </w:style>
  <w:style w:type="table" w:styleId="754">
    <w:name w:val="Table Grid"/>
    <w:basedOn w:val="7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55" w:customStyle="1">
    <w:name w:val="Table Grid Light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2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2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563c1" w:themeColor="hyperlink"/>
      <w:u w:val="single"/>
    </w:rPr>
  </w:style>
  <w:style w:type="paragraph" w:styleId="881">
    <w:name w:val="footnote text"/>
    <w:basedOn w:val="71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8"/>
    <w:uiPriority w:val="99"/>
    <w:unhideWhenUsed/>
    <w:rPr>
      <w:vertAlign w:val="superscript"/>
    </w:rPr>
  </w:style>
  <w:style w:type="paragraph" w:styleId="884">
    <w:name w:val="endnote text"/>
    <w:basedOn w:val="71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8"/>
    <w:uiPriority w:val="99"/>
    <w:semiHidden/>
    <w:unhideWhenUsed/>
    <w:rPr>
      <w:vertAlign w:val="superscript"/>
    </w:rPr>
  </w:style>
  <w:style w:type="paragraph" w:styleId="887">
    <w:name w:val="toc 1"/>
    <w:basedOn w:val="718"/>
    <w:next w:val="718"/>
    <w:uiPriority w:val="39"/>
    <w:unhideWhenUsed/>
    <w:pPr>
      <w:spacing w:after="57"/>
    </w:pPr>
  </w:style>
  <w:style w:type="paragraph" w:styleId="888">
    <w:name w:val="toc 2"/>
    <w:basedOn w:val="718"/>
    <w:next w:val="718"/>
    <w:uiPriority w:val="39"/>
    <w:unhideWhenUsed/>
    <w:pPr>
      <w:ind w:left="283"/>
      <w:spacing w:after="57"/>
    </w:pPr>
  </w:style>
  <w:style w:type="paragraph" w:styleId="889">
    <w:name w:val="toc 3"/>
    <w:basedOn w:val="718"/>
    <w:next w:val="718"/>
    <w:uiPriority w:val="39"/>
    <w:unhideWhenUsed/>
    <w:pPr>
      <w:ind w:left="567"/>
      <w:spacing w:after="57"/>
    </w:pPr>
  </w:style>
  <w:style w:type="paragraph" w:styleId="890">
    <w:name w:val="toc 4"/>
    <w:basedOn w:val="718"/>
    <w:next w:val="718"/>
    <w:uiPriority w:val="39"/>
    <w:unhideWhenUsed/>
    <w:pPr>
      <w:ind w:left="850"/>
      <w:spacing w:after="57"/>
    </w:pPr>
  </w:style>
  <w:style w:type="paragraph" w:styleId="891">
    <w:name w:val="toc 5"/>
    <w:basedOn w:val="718"/>
    <w:next w:val="718"/>
    <w:uiPriority w:val="39"/>
    <w:unhideWhenUsed/>
    <w:pPr>
      <w:ind w:left="1134"/>
      <w:spacing w:after="57"/>
    </w:pPr>
  </w:style>
  <w:style w:type="paragraph" w:styleId="892">
    <w:name w:val="toc 6"/>
    <w:basedOn w:val="718"/>
    <w:next w:val="718"/>
    <w:uiPriority w:val="39"/>
    <w:unhideWhenUsed/>
    <w:pPr>
      <w:ind w:left="1417"/>
      <w:spacing w:after="57"/>
    </w:pPr>
  </w:style>
  <w:style w:type="paragraph" w:styleId="893">
    <w:name w:val="toc 7"/>
    <w:basedOn w:val="718"/>
    <w:next w:val="718"/>
    <w:uiPriority w:val="39"/>
    <w:unhideWhenUsed/>
    <w:pPr>
      <w:ind w:left="1701"/>
      <w:spacing w:after="57"/>
    </w:pPr>
  </w:style>
  <w:style w:type="paragraph" w:styleId="894">
    <w:name w:val="toc 8"/>
    <w:basedOn w:val="718"/>
    <w:next w:val="718"/>
    <w:uiPriority w:val="39"/>
    <w:unhideWhenUsed/>
    <w:pPr>
      <w:ind w:left="1984"/>
      <w:spacing w:after="57"/>
    </w:pPr>
  </w:style>
  <w:style w:type="paragraph" w:styleId="895">
    <w:name w:val="toc 9"/>
    <w:basedOn w:val="718"/>
    <w:next w:val="718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18"/>
    <w:next w:val="718"/>
    <w:uiPriority w:val="99"/>
    <w:unhideWhenUsed/>
    <w:pPr>
      <w:spacing w:after="0"/>
    </w:pPr>
  </w:style>
  <w:style w:type="paragraph" w:styleId="89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00">
    <w:name w:val="Header"/>
    <w:basedOn w:val="718"/>
    <w:link w:val="9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728"/>
    <w:link w:val="900"/>
    <w:uiPriority w:val="99"/>
  </w:style>
  <w:style w:type="paragraph" w:styleId="902">
    <w:name w:val="Footer"/>
    <w:basedOn w:val="718"/>
    <w:link w:val="9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728"/>
    <w:link w:val="902"/>
    <w:uiPriority w:val="99"/>
  </w:style>
  <w:style w:type="character" w:styleId="904">
    <w:name w:val="annotation reference"/>
    <w:basedOn w:val="728"/>
    <w:uiPriority w:val="99"/>
    <w:semiHidden/>
    <w:unhideWhenUsed/>
    <w:rPr>
      <w:sz w:val="16"/>
      <w:szCs w:val="16"/>
    </w:rPr>
  </w:style>
  <w:style w:type="paragraph" w:styleId="905">
    <w:name w:val="annotation text"/>
    <w:basedOn w:val="718"/>
    <w:link w:val="90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6" w:customStyle="1">
    <w:name w:val="Текст примечания Знак"/>
    <w:basedOn w:val="728"/>
    <w:link w:val="905"/>
    <w:uiPriority w:val="99"/>
    <w:semiHidden/>
    <w:rPr>
      <w:sz w:val="20"/>
      <w:szCs w:val="20"/>
    </w:rPr>
  </w:style>
  <w:style w:type="paragraph" w:styleId="907">
    <w:name w:val="annotation subject"/>
    <w:basedOn w:val="905"/>
    <w:next w:val="905"/>
    <w:link w:val="908"/>
    <w:uiPriority w:val="99"/>
    <w:semiHidden/>
    <w:unhideWhenUsed/>
    <w:rPr>
      <w:b/>
      <w:bCs/>
    </w:rPr>
  </w:style>
  <w:style w:type="character" w:styleId="908" w:customStyle="1">
    <w:name w:val="Тема примечания Знак"/>
    <w:basedOn w:val="906"/>
    <w:link w:val="907"/>
    <w:uiPriority w:val="99"/>
    <w:semiHidden/>
    <w:rPr>
      <w:b/>
      <w:bCs/>
      <w:sz w:val="20"/>
      <w:szCs w:val="20"/>
    </w:rPr>
  </w:style>
  <w:style w:type="paragraph" w:styleId="909">
    <w:name w:val="Balloon Text"/>
    <w:basedOn w:val="718"/>
    <w:link w:val="91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0" w:customStyle="1">
    <w:name w:val="Текст выноски Знак"/>
    <w:basedOn w:val="728"/>
    <w:link w:val="90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AF68410BC0CAF21247CA6FFC87D6EAA9CA8554851944E49D5C85DC205F7C63E0C9F6259EEAC29011A2CEDD5019B54258610671F26D96FC4A11A3A6F0UAp8C" TargetMode="External"/><Relationship Id="rId11" Type="http://schemas.openxmlformats.org/officeDocument/2006/relationships/hyperlink" Target="consultantplus://offline/ref=AF68410BC0CAF21247CA6FFC87D6EAA9CA8554851944E49F548CDC205F7C63E0C9F6259EEAC29011A6CADD561DB54258610671F26D96FC4A11A3A6F0UAp8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revision>529</cp:revision>
  <dcterms:created xsi:type="dcterms:W3CDTF">2020-08-25T02:31:00Z</dcterms:created>
  <dcterms:modified xsi:type="dcterms:W3CDTF">2024-03-06T04:23:42Z</dcterms:modified>
</cp:coreProperties>
</file>