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04" w:rsidRDefault="00322204" w:rsidP="00322204">
      <w:pPr>
        <w:adjustRightInd w:val="0"/>
        <w:spacing w:before="120"/>
        <w:ind w:left="10632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ПРИЛОЖЕНИЕ № 1</w:t>
      </w:r>
    </w:p>
    <w:p w:rsidR="00322204" w:rsidRDefault="00322204" w:rsidP="00322204">
      <w:pPr>
        <w:adjustRightInd w:val="0"/>
        <w:spacing w:before="120"/>
        <w:ind w:left="10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E63F2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Новосибирской области </w:t>
      </w:r>
    </w:p>
    <w:p w:rsidR="00006CC0" w:rsidRDefault="00006CC0" w:rsidP="00322204">
      <w:pPr>
        <w:adjustRightInd w:val="0"/>
        <w:spacing w:before="120"/>
        <w:ind w:left="10632"/>
        <w:jc w:val="both"/>
        <w:rPr>
          <w:sz w:val="28"/>
          <w:szCs w:val="28"/>
        </w:rPr>
      </w:pPr>
      <w:r>
        <w:rPr>
          <w:sz w:val="28"/>
          <w:szCs w:val="28"/>
        </w:rPr>
        <w:t>от ______________ № _______</w:t>
      </w:r>
    </w:p>
    <w:p w:rsidR="00322204" w:rsidRDefault="00322204" w:rsidP="00322204">
      <w:pPr>
        <w:adjustRightInd w:val="0"/>
        <w:spacing w:before="120"/>
        <w:ind w:firstLine="709"/>
        <w:jc w:val="both"/>
        <w:rPr>
          <w:sz w:val="28"/>
          <w:szCs w:val="28"/>
        </w:rPr>
      </w:pPr>
    </w:p>
    <w:p w:rsidR="00D02B01" w:rsidRDefault="00877064" w:rsidP="00D02B01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D02B01" w:rsidRPr="0057697B">
        <w:rPr>
          <w:b/>
          <w:bCs/>
          <w:color w:val="000000"/>
          <w:sz w:val="28"/>
          <w:szCs w:val="28"/>
          <w:lang w:val="en-US"/>
        </w:rPr>
        <w:t>V</w:t>
      </w:r>
      <w:r w:rsidR="00D02B01" w:rsidRPr="0057697B">
        <w:rPr>
          <w:b/>
          <w:bCs/>
          <w:color w:val="000000"/>
          <w:sz w:val="28"/>
          <w:szCs w:val="28"/>
        </w:rPr>
        <w:t>. План мероприятий по реализации региональной программы</w:t>
      </w:r>
    </w:p>
    <w:p w:rsidR="00D02B01" w:rsidRPr="0057697B" w:rsidRDefault="00D02B01" w:rsidP="00D02B01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312"/>
        <w:gridCol w:w="1783"/>
        <w:gridCol w:w="1412"/>
        <w:gridCol w:w="2157"/>
        <w:gridCol w:w="2358"/>
      </w:tblGrid>
      <w:tr w:rsidR="00D02B01" w:rsidRPr="00F60C2B" w:rsidTr="00F046CC">
        <w:trPr>
          <w:trHeight w:val="20"/>
        </w:trPr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:rsidR="00D02B01" w:rsidRPr="00F60C2B" w:rsidRDefault="00D02B01" w:rsidP="00F046CC">
            <w:pPr>
              <w:widowControl w:val="0"/>
              <w:spacing w:line="247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F60C2B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93" w:type="pct"/>
            <w:vMerge w:val="restart"/>
            <w:shd w:val="clear" w:color="auto" w:fill="auto"/>
            <w:vAlign w:val="center"/>
            <w:hideMark/>
          </w:tcPr>
          <w:p w:rsidR="00D02B01" w:rsidRPr="00F60C2B" w:rsidRDefault="00D02B01" w:rsidP="00F046CC">
            <w:pPr>
              <w:widowControl w:val="0"/>
              <w:spacing w:line="247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F60C2B">
              <w:rPr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70" w:type="pct"/>
            <w:gridSpan w:val="2"/>
            <w:shd w:val="clear" w:color="auto" w:fill="auto"/>
            <w:vAlign w:val="center"/>
            <w:hideMark/>
          </w:tcPr>
          <w:p w:rsidR="00D02B01" w:rsidRPr="00F60C2B" w:rsidRDefault="00D02B01" w:rsidP="00F046CC">
            <w:pPr>
              <w:widowControl w:val="0"/>
              <w:spacing w:line="247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F60C2B">
              <w:rPr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  <w:hideMark/>
          </w:tcPr>
          <w:p w:rsidR="00D02B01" w:rsidRPr="00F60C2B" w:rsidRDefault="00D02B01" w:rsidP="00F046CC">
            <w:pPr>
              <w:widowControl w:val="0"/>
              <w:spacing w:line="247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F60C2B">
              <w:rPr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  <w:hideMark/>
          </w:tcPr>
          <w:p w:rsidR="00D02B01" w:rsidRPr="00F60C2B" w:rsidRDefault="00D02B01" w:rsidP="00F046CC">
            <w:pPr>
              <w:widowControl w:val="0"/>
              <w:spacing w:line="247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F60C2B">
              <w:rPr>
                <w:bCs/>
                <w:color w:val="000000"/>
                <w:sz w:val="24"/>
                <w:szCs w:val="24"/>
              </w:rPr>
              <w:t>Вид документа и характеристика результата</w:t>
            </w:r>
          </w:p>
        </w:tc>
      </w:tr>
      <w:tr w:rsidR="00D02B01" w:rsidRPr="00F60C2B" w:rsidTr="00F046CC">
        <w:trPr>
          <w:trHeight w:val="20"/>
        </w:trPr>
        <w:tc>
          <w:tcPr>
            <w:tcW w:w="185" w:type="pct"/>
            <w:vMerge/>
            <w:hideMark/>
          </w:tcPr>
          <w:p w:rsidR="00D02B01" w:rsidRPr="00F60C2B" w:rsidRDefault="00D02B01" w:rsidP="002F53AC">
            <w:pPr>
              <w:widowControl w:val="0"/>
              <w:spacing w:line="247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pct"/>
            <w:vMerge/>
            <w:hideMark/>
          </w:tcPr>
          <w:p w:rsidR="00D02B01" w:rsidRPr="00F60C2B" w:rsidRDefault="00D02B01" w:rsidP="002F53AC">
            <w:pPr>
              <w:widowControl w:val="0"/>
              <w:spacing w:line="247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D02B01" w:rsidRPr="00F60C2B" w:rsidRDefault="00D02B01" w:rsidP="00F046CC">
            <w:pPr>
              <w:widowControl w:val="0"/>
              <w:spacing w:line="247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F60C2B">
              <w:rPr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02B01" w:rsidRPr="00F60C2B" w:rsidRDefault="00D02B01" w:rsidP="00F046CC">
            <w:pPr>
              <w:widowControl w:val="0"/>
              <w:spacing w:line="247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F60C2B">
              <w:rPr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743" w:type="pct"/>
            <w:vMerge/>
            <w:hideMark/>
          </w:tcPr>
          <w:p w:rsidR="00D02B01" w:rsidRPr="00F60C2B" w:rsidRDefault="00D02B01" w:rsidP="002F53AC">
            <w:pPr>
              <w:widowControl w:val="0"/>
              <w:spacing w:line="247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hideMark/>
          </w:tcPr>
          <w:p w:rsidR="00D02B01" w:rsidRPr="00F60C2B" w:rsidRDefault="00D02B01" w:rsidP="002F53AC">
            <w:pPr>
              <w:widowControl w:val="0"/>
              <w:spacing w:line="247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02B01" w:rsidRPr="00F60C2B" w:rsidTr="00474059">
        <w:trPr>
          <w:trHeight w:val="16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Цель 1.</w:t>
            </w:r>
            <w:r w:rsidRPr="00F60C2B">
              <w:rPr>
                <w:color w:val="000000"/>
                <w:sz w:val="24"/>
                <w:szCs w:val="24"/>
              </w:rPr>
              <w:t xml:space="preserve"> Обеспечение доступности и качества первичной медико-санитарной помощи и медицинской помощи, оказываемой в сельской местности, рабочих поселках, поселках городского типа и малых городах с численностью населения до 50 тыс. человек 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  <w:bookmarkStart w:id="1" w:name="_GoBack"/>
            <w:bookmarkEnd w:id="1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Задача 1.</w:t>
            </w:r>
            <w:r w:rsidRPr="00F60C2B">
              <w:rPr>
                <w:color w:val="000000"/>
                <w:sz w:val="24"/>
                <w:szCs w:val="24"/>
              </w:rPr>
              <w:t xml:space="preserve"> 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  (приложение № 7 к методическим рекомендациям)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 1.</w:t>
            </w:r>
            <w:r w:rsidRPr="00F60C2B">
              <w:rPr>
                <w:color w:val="000000"/>
                <w:sz w:val="24"/>
                <w:szCs w:val="24"/>
              </w:rPr>
              <w:t xml:space="preserve"> Осуществление нового строительства(его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</w:t>
            </w:r>
            <w:r w:rsidRPr="00F60C2B">
              <w:rPr>
                <w:color w:val="000000"/>
                <w:sz w:val="24"/>
                <w:szCs w:val="24"/>
              </w:rPr>
              <w:lastRenderedPageBreak/>
              <w:t xml:space="preserve">зданий, комплексов зданий) центральных районных и районных больниц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Министерство строительства Новосибирской области, Министерство здравоохранения Новосибирской области, Медицинские организации </w:t>
            </w:r>
            <w:r w:rsidRPr="00F60C2B">
              <w:rPr>
                <w:color w:val="000000"/>
                <w:sz w:val="24"/>
                <w:szCs w:val="24"/>
              </w:rPr>
              <w:lastRenderedPageBreak/>
              <w:t>подведомственные министерству здравоохранения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18230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lastRenderedPageBreak/>
              <w:t>Отчет о реализации мероприятия</w:t>
            </w:r>
            <w:r w:rsidR="0018230C">
              <w:rPr>
                <w:color w:val="000000"/>
                <w:sz w:val="24"/>
                <w:szCs w:val="24"/>
              </w:rPr>
              <w:t xml:space="preserve"> и</w:t>
            </w:r>
            <w:r w:rsidRPr="00F60C2B">
              <w:rPr>
                <w:color w:val="000000"/>
                <w:sz w:val="24"/>
                <w:szCs w:val="24"/>
              </w:rPr>
              <w:t xml:space="preserve"> достижении ЦП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 2.</w:t>
            </w:r>
            <w:r w:rsidRPr="00F60C2B">
              <w:rPr>
                <w:color w:val="000000"/>
                <w:sz w:val="24"/>
                <w:szCs w:val="24"/>
              </w:rPr>
              <w:t xml:space="preserve"> Осуществление реконструкции(ее завершение) зданий медицинских организаций</w:t>
            </w:r>
            <w:r w:rsidR="00B9166B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строительства Новосибирской области, Министерство здравоохранения Новосибирской области Медицинские организации подведомственные министерству здравоохранения Новосибирской области,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</w:t>
            </w:r>
            <w:r w:rsidR="0018230C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и достижении ЦП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 3.</w:t>
            </w:r>
            <w:r w:rsidRPr="00F60C2B">
              <w:rPr>
                <w:color w:val="000000"/>
                <w:sz w:val="24"/>
                <w:szCs w:val="24"/>
              </w:rPr>
              <w:t xml:space="preserve">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пункты),а также зданий (отдельных зданий, комплексов зданий) центральных районных и районных больниц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строительства Новосибирской области, Министерство здравоохранения Новосибирской области Медицинские организации подведомственные министерству здравоохранения Новосибирской области,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</w:t>
            </w:r>
            <w:r w:rsidR="0018230C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и достижении ЦП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Мероприятие 4. Приобретение объектов недвижимого имущества,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 -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Мероприятие 5.</w:t>
            </w:r>
            <w:r w:rsidRPr="00F60C2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 -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Задача 2.</w:t>
            </w:r>
            <w:r w:rsidRPr="00F60C2B">
              <w:rPr>
                <w:color w:val="000000"/>
                <w:sz w:val="24"/>
                <w:szCs w:val="24"/>
              </w:rPr>
              <w:t xml:space="preserve"> Обеспечение транспортной доступности медицинских организаций для всех групп населения, в том числе инвалидов и других групп </w:t>
            </w:r>
            <w:proofErr w:type="spellStart"/>
            <w:r w:rsidRPr="00F60C2B">
              <w:rPr>
                <w:color w:val="000000"/>
                <w:sz w:val="24"/>
                <w:szCs w:val="24"/>
              </w:rPr>
              <w:t>населенияс</w:t>
            </w:r>
            <w:proofErr w:type="spellEnd"/>
            <w:r w:rsidRPr="00F60C2B">
              <w:rPr>
                <w:color w:val="000000"/>
                <w:sz w:val="24"/>
                <w:szCs w:val="24"/>
              </w:rPr>
              <w:t xml:space="preserve"> ограниченными возможностями здоровья (приложение № 9к методическим рекомендациям)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 6.</w:t>
            </w:r>
            <w:r w:rsidRPr="00F60C2B">
              <w:rPr>
                <w:color w:val="000000"/>
                <w:sz w:val="24"/>
                <w:szCs w:val="24"/>
              </w:rPr>
              <w:t xml:space="preserve"> 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человек): автотранспорт для доставки пациентов в медицинские организации, автотранспорт для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области, Медицинские организации подведомственные министерству здравоохранения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</w:t>
            </w:r>
            <w:r w:rsidR="0018230C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и достижении ЦП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Задача 3.</w:t>
            </w:r>
            <w:r w:rsidRPr="00F60C2B">
              <w:rPr>
                <w:color w:val="000000"/>
                <w:sz w:val="24"/>
                <w:szCs w:val="24"/>
              </w:rPr>
              <w:t xml:space="preserve"> Оснащение медицинских организаций, на базе которых оказывается первичная медико-санитарная помощь,</w:t>
            </w:r>
            <w:r w:rsidR="0077280E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здоровья.(приложение № 8к методическим рекомендациям)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right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Министерство здравоохранения Новосибирской области, Медицинские организации подведомственные министерству </w:t>
            </w:r>
            <w:r w:rsidRPr="00F60C2B">
              <w:rPr>
                <w:color w:val="000000"/>
                <w:sz w:val="24"/>
                <w:szCs w:val="24"/>
              </w:rPr>
              <w:lastRenderedPageBreak/>
              <w:t xml:space="preserve">здравоохранения Новосибирской области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lastRenderedPageBreak/>
              <w:t xml:space="preserve">Акты приема-передачи медицинских изделий. Обеспечение соответствия оснащения государственных </w:t>
            </w:r>
            <w:r w:rsidRPr="00F60C2B">
              <w:rPr>
                <w:color w:val="000000"/>
                <w:sz w:val="24"/>
                <w:szCs w:val="24"/>
              </w:rPr>
              <w:lastRenderedPageBreak/>
              <w:t xml:space="preserve">медицинских организаций Новосибирской области, оказывающих первичную медико-санитарную помощь, стандартам оснащения соответствующих структурных подразделений в соответствии порядками оказания медицинской помощи. 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 7.</w:t>
            </w:r>
            <w:r w:rsidRPr="00F60C2B">
              <w:rPr>
                <w:color w:val="000000"/>
                <w:sz w:val="24"/>
                <w:szCs w:val="24"/>
              </w:rPr>
              <w:t xml:space="preserve"> 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right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right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области, Медицинские организации подведомственные министерству здравоохранения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 и достижении ЦП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Задача 4. </w:t>
            </w:r>
            <w:r w:rsidRPr="00F60C2B">
              <w:rPr>
                <w:color w:val="000000"/>
                <w:sz w:val="24"/>
                <w:szCs w:val="24"/>
              </w:rPr>
              <w:t>Устранение дефицита кадров в первичном звене здравоохранения и повышение уровня их квалификации,</w:t>
            </w:r>
            <w:r w:rsidR="00B9166B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в том числе в целях обеспечения возможности выбора медицинской организации и врача (приложение № 10к методическим рекомендациям)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Министерство здравоохранения Новосибирской области, Федеральное государственное бюджетное образовательное </w:t>
            </w:r>
            <w:r w:rsidRPr="00F60C2B">
              <w:rPr>
                <w:color w:val="000000"/>
                <w:sz w:val="24"/>
                <w:szCs w:val="24"/>
              </w:rPr>
              <w:lastRenderedPageBreak/>
              <w:t>учреждение высшего образования «Новосибирский государственный медицинский университет» Министерства здравоохранения Российской Федерации,  Медицинские организации подведомственные министерству здравоохранения Новосибирской области, Министерство образования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8.</w:t>
            </w:r>
            <w:r w:rsidRPr="00F60C2B">
              <w:rPr>
                <w:color w:val="000000"/>
                <w:sz w:val="24"/>
                <w:szCs w:val="24"/>
              </w:rPr>
              <w:t xml:space="preserve"> Утверждение и поэтапное внедрение отраслевой системы оплаты труда медицинских работников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области, Министерство труда и социального развития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Отчет о реализации мероприятия и достижении ЦП (по увеличению заработной платы медицинских работников медицинских организаций, оказывающих первичную медико-санитарную помощь, скорую </w:t>
            </w:r>
            <w:r w:rsidRPr="00F60C2B">
              <w:rPr>
                <w:color w:val="000000"/>
                <w:sz w:val="24"/>
                <w:szCs w:val="24"/>
              </w:rPr>
              <w:lastRenderedPageBreak/>
              <w:t>медицинскую помощь, медицинских работников центральных районных и районных больниц)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9. </w:t>
            </w:r>
            <w:r w:rsidRPr="00F60C2B">
              <w:rPr>
                <w:color w:val="000000"/>
                <w:sz w:val="24"/>
                <w:szCs w:val="24"/>
              </w:rPr>
              <w:t xml:space="preserve">Принятие мер по укомплектованию медицинских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с целевыми показателями, указанными в паспортах таких медицинских организаций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 и достижении ЦП (по увеличению числа медицинских работников медицинских организаций, оказывающих медико-санитарную помощь, скорую медицинскую помощь, центральных районных и районных больниц)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10.</w:t>
            </w:r>
            <w:r w:rsidRPr="00F60C2B">
              <w:rPr>
                <w:color w:val="000000"/>
                <w:sz w:val="24"/>
                <w:szCs w:val="24"/>
              </w:rPr>
              <w:t xml:space="preserve"> Увеличение заявок на целевое обучение врачей в соответствии с дефицитными специальностями первичного звена здравоохранения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01.11.2020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области,</w:t>
            </w:r>
            <w:r w:rsidR="00B9166B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 и достижении ЦП (по увеличению числа врачей, оказывающих первичную медико-санитарную помощь и скорую медицинскую помощь)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11.</w:t>
            </w:r>
            <w:r w:rsidRPr="00F60C2B">
              <w:rPr>
                <w:color w:val="000000"/>
                <w:sz w:val="24"/>
                <w:szCs w:val="24"/>
              </w:rPr>
              <w:t> Увеличение числа обучающихся профессиональных образовательных организаций, осуществляющих подготовку специалистов со средним медицинским образованием, не менее чем на 30 процентов в год от имеющегося дефицита таких специалистов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области, Министерство образования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 и достижении ЦП (по увеличению численности среднего медицинского персонала в медицинских организациях субъектов Российской Федерации)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12.</w:t>
            </w:r>
            <w:r w:rsidRPr="00F60C2B">
              <w:rPr>
                <w:color w:val="000000"/>
                <w:sz w:val="24"/>
                <w:szCs w:val="24"/>
              </w:rPr>
              <w:t xml:space="preserve"> Разработка и реализация региональных мер стимулирования медицинских работников в части предоставления единовременных выплат, в том числе при переезде в сельскую местность, рабочие поселки, поселки городского типа и города с населением до 50 тыс. человек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 и достижении ЦП (по включению в региональные программы модернизации первичного звена здравоохранения мероприятий в целях увеличения числа врачей и фельдшеров, прибывших (переехавших) на работу в сельские населенные пункты, рабочие поселки, поселки городского типа, города с населением до 50 тыс. человек)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13.</w:t>
            </w:r>
            <w:r w:rsidRPr="00F60C2B">
              <w:rPr>
                <w:color w:val="000000"/>
                <w:sz w:val="24"/>
                <w:szCs w:val="24"/>
              </w:rPr>
              <w:t xml:space="preserve"> Разработка и реализация региональных мер социальной поддержки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в том числе их приоритетное обеспечение служебным жильем, использование иных механизмов обеспечения жильем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области, Министерство строительства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</w:t>
            </w:r>
            <w:r w:rsidR="0018230C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и достижении ЦП (по включению в региональные программы модернизации первичного звена здравоохранения мероприятий в целях создания условий и мотивации для закрепления медицинских работников медицинских организаций, уменьшение оттока кадров из государственного сектора отрасли здравоохранения)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14.</w:t>
            </w:r>
            <w:r w:rsidRPr="00F60C2B">
              <w:rPr>
                <w:color w:val="000000"/>
                <w:sz w:val="24"/>
                <w:szCs w:val="24"/>
              </w:rPr>
              <w:t xml:space="preserve"> 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медицинскими работниками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С момента вступления</w:t>
            </w:r>
            <w:r w:rsidR="00B9166B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в силу Постановления Правительства Российской Федерации</w:t>
            </w:r>
            <w:r w:rsidR="00B9166B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от 09.10.2019 № 1304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30.06.2021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Отчет о реализации мероприятия и достижении ЦП (по повышению укомплектованности медицинских организаций, оказывающих первичную медико-санитарную помощь и скорую </w:t>
            </w:r>
            <w:r w:rsidRPr="00F60C2B">
              <w:rPr>
                <w:color w:val="000000"/>
                <w:sz w:val="24"/>
                <w:szCs w:val="24"/>
              </w:rPr>
              <w:lastRenderedPageBreak/>
              <w:t>медицинскую помощь)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15.</w:t>
            </w:r>
            <w:r w:rsidRPr="00F60C2B">
              <w:rPr>
                <w:color w:val="000000"/>
                <w:sz w:val="24"/>
                <w:szCs w:val="24"/>
              </w:rPr>
              <w:t xml:space="preserve"> Разработка механизма наставничества в отношении врачей - молодых специалистов, прошедших целевое обучение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 и достижении ЦП (по повышению числа молодых врачей в медицинских организациях государственной и муниципальной систем здравоохранения)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 xml:space="preserve">Цель № 2. </w:t>
            </w:r>
            <w:r w:rsidRPr="00F60C2B">
              <w:rPr>
                <w:color w:val="000000"/>
                <w:sz w:val="24"/>
                <w:szCs w:val="24"/>
              </w:rPr>
              <w:t>Обеспечение приоритета интересов пациента при оказании первичной медико-санитарной помощи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Задача 5.</w:t>
            </w:r>
            <w:r w:rsidRPr="00F60C2B">
              <w:rPr>
                <w:color w:val="000000"/>
                <w:sz w:val="24"/>
                <w:szCs w:val="24"/>
              </w:rPr>
              <w:t xml:space="preserve"> Обеспечение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 w:rsidRPr="00F60C2B">
              <w:rPr>
                <w:color w:val="000000"/>
                <w:sz w:val="24"/>
                <w:szCs w:val="24"/>
              </w:rPr>
              <w:t>подушевого</w:t>
            </w:r>
            <w:proofErr w:type="spellEnd"/>
            <w:r w:rsidRPr="00F60C2B">
              <w:rPr>
                <w:color w:val="000000"/>
                <w:sz w:val="24"/>
                <w:szCs w:val="24"/>
              </w:rPr>
              <w:t xml:space="preserve"> норматива финансирования оказания первичной медико-санитарной помощи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16.</w:t>
            </w:r>
            <w:r w:rsidRPr="00F60C2B">
              <w:rPr>
                <w:color w:val="000000"/>
                <w:sz w:val="24"/>
                <w:szCs w:val="24"/>
              </w:rPr>
              <w:t xml:space="preserve"> Внесение изменений в территориальную программу государственных гарантий бесплатного оказания гражданам медицинской помощи в части обеспечения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 w:rsidRPr="00F60C2B">
              <w:rPr>
                <w:color w:val="000000"/>
                <w:sz w:val="24"/>
                <w:szCs w:val="24"/>
              </w:rPr>
              <w:t>подушевого</w:t>
            </w:r>
            <w:proofErr w:type="spellEnd"/>
            <w:r w:rsidRPr="00F60C2B">
              <w:rPr>
                <w:color w:val="000000"/>
                <w:sz w:val="24"/>
                <w:szCs w:val="24"/>
              </w:rPr>
              <w:t xml:space="preserve"> норматива финансирования оказания первичной медико-санитарной помощи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области, Территориальный фонд обязательного медицинского страхования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</w:t>
            </w:r>
            <w:r w:rsidR="0018230C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и достижении ЦП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Цель № 3.</w:t>
            </w:r>
            <w:r w:rsidRPr="00F60C2B">
              <w:rPr>
                <w:color w:val="000000"/>
                <w:sz w:val="24"/>
                <w:szCs w:val="24"/>
              </w:rPr>
              <w:t xml:space="preserve"> Обеспечение соблюдения прав граждан при оказании первичной медико-санитарной помощи и обеспечение связанных с этими правами государственных гарантий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 xml:space="preserve">Задача 6. </w:t>
            </w:r>
            <w:r w:rsidRPr="00F60C2B">
              <w:rPr>
                <w:color w:val="000000"/>
                <w:sz w:val="24"/>
                <w:szCs w:val="24"/>
              </w:rPr>
              <w:t xml:space="preserve">Введение коэффициентов дифференциации для </w:t>
            </w:r>
            <w:proofErr w:type="spellStart"/>
            <w:r w:rsidRPr="00F60C2B">
              <w:rPr>
                <w:color w:val="000000"/>
                <w:sz w:val="24"/>
                <w:szCs w:val="24"/>
              </w:rPr>
              <w:t>подушевого</w:t>
            </w:r>
            <w:proofErr w:type="spellEnd"/>
            <w:r w:rsidRPr="00F60C2B">
              <w:rPr>
                <w:color w:val="000000"/>
                <w:sz w:val="24"/>
                <w:szCs w:val="24"/>
              </w:rPr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17.</w:t>
            </w:r>
            <w:r w:rsidRPr="00F60C2B">
              <w:rPr>
                <w:color w:val="000000"/>
                <w:sz w:val="24"/>
                <w:szCs w:val="24"/>
              </w:rPr>
              <w:t xml:space="preserve"> Внесение изменений в территориальную программу государственных гарантий бесплатного оказания гражданам медицинской помощи в части введения коэффициентов дифференциации для </w:t>
            </w:r>
            <w:proofErr w:type="spellStart"/>
            <w:r w:rsidRPr="00F60C2B">
              <w:rPr>
                <w:color w:val="000000"/>
                <w:sz w:val="24"/>
                <w:szCs w:val="24"/>
              </w:rPr>
              <w:t>подушевого</w:t>
            </w:r>
            <w:proofErr w:type="spellEnd"/>
            <w:r w:rsidRPr="00F60C2B">
              <w:rPr>
                <w:color w:val="000000"/>
                <w:sz w:val="24"/>
                <w:szCs w:val="24"/>
              </w:rPr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области, Территориальный фонд обязательного медицинского страхования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 и достижении ЦП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Задача 7.</w:t>
            </w:r>
            <w:r w:rsidRPr="00F60C2B">
              <w:rPr>
                <w:color w:val="000000"/>
                <w:sz w:val="24"/>
                <w:szCs w:val="24"/>
              </w:rPr>
              <w:t xml:space="preserve"> Создание механизма мотивации руководителей и медицинских работников медицинских организаций первичного звена здравоохранения с учетом степени соответствия медицинской организации статусу медицинской организации, внедряющей новую модель оказания гражданам первичной медико-санитарной помощи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 и достижении ЦП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18.</w:t>
            </w:r>
            <w:r w:rsidRPr="00F60C2B">
              <w:rPr>
                <w:color w:val="000000"/>
                <w:sz w:val="24"/>
                <w:szCs w:val="24"/>
              </w:rPr>
              <w:t> Стимулирование 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 и достижении ЦП (по увеличению количества медицинских организаций, внедряющих новую модель оказания гражданам первичной медико-</w:t>
            </w:r>
            <w:r w:rsidRPr="00F60C2B">
              <w:rPr>
                <w:color w:val="000000"/>
                <w:sz w:val="24"/>
                <w:szCs w:val="24"/>
              </w:rPr>
              <w:lastRenderedPageBreak/>
              <w:t>санитарной помощи)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Задача 8.</w:t>
            </w:r>
            <w:r w:rsidRPr="00F60C2B">
              <w:rPr>
                <w:color w:val="000000"/>
                <w:sz w:val="24"/>
                <w:szCs w:val="24"/>
              </w:rPr>
              <w:t xml:space="preserve"> Разработка и утверждение территориальной программы государственных гарантий бесплатного оказания гражданам медицинской помощи с учетом результатов реализации мероприятий региональной программы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области, Территориальный фонд обязательного медицинского страхования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19.</w:t>
            </w:r>
            <w:r w:rsidRPr="00F60C2B">
              <w:rPr>
                <w:color w:val="000000"/>
                <w:sz w:val="24"/>
                <w:szCs w:val="24"/>
              </w:rPr>
              <w:t> 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помощи,</w:t>
            </w:r>
            <w:r w:rsidR="00B9166B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с учетом реализации мероприятий региональной программы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both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области, Территориальный фонд обязательного медицинского страхования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 и достижении ЦП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Цель № 4.</w:t>
            </w:r>
            <w:r w:rsidRPr="00F60C2B">
              <w:rPr>
                <w:color w:val="000000"/>
                <w:sz w:val="24"/>
                <w:szCs w:val="24"/>
              </w:rPr>
              <w:t xml:space="preserve"> Обеспечение приоритета профилактики при оказании первичной медико-санитарной помощи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здравоохранения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 и достижении ЦП</w:t>
            </w:r>
          </w:p>
        </w:tc>
      </w:tr>
      <w:tr w:rsidR="00D02B01" w:rsidRPr="00F60C2B" w:rsidTr="00474059">
        <w:trPr>
          <w:trHeight w:val="2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 xml:space="preserve">Задача 9. </w:t>
            </w:r>
            <w:r w:rsidRPr="00F60C2B">
              <w:rPr>
                <w:color w:val="000000"/>
                <w:sz w:val="24"/>
                <w:szCs w:val="24"/>
              </w:rPr>
              <w:t>Реализация мероприятий пилотного проекта</w:t>
            </w:r>
            <w:r w:rsidR="00B9166B">
              <w:rPr>
                <w:color w:val="000000"/>
                <w:sz w:val="24"/>
                <w:szCs w:val="24"/>
              </w:rPr>
              <w:t xml:space="preserve"> </w:t>
            </w:r>
            <w:r w:rsidRPr="00F60C2B">
              <w:rPr>
                <w:color w:val="000000"/>
                <w:sz w:val="24"/>
                <w:szCs w:val="24"/>
              </w:rPr>
              <w:t>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 xml:space="preserve">Министерство труда и социального развития Новосибирской области, Министерство </w:t>
            </w:r>
            <w:r w:rsidRPr="00F60C2B">
              <w:rPr>
                <w:color w:val="000000"/>
                <w:sz w:val="24"/>
                <w:szCs w:val="24"/>
              </w:rPr>
              <w:lastRenderedPageBreak/>
              <w:t>здравоохранения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lastRenderedPageBreak/>
              <w:t>Отчет о реализации мероприятия и достижении ЦП</w:t>
            </w:r>
          </w:p>
        </w:tc>
      </w:tr>
      <w:tr w:rsidR="00D02B01" w:rsidRPr="00F75CA1" w:rsidTr="00474059">
        <w:trPr>
          <w:trHeight w:val="195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C2B">
              <w:rPr>
                <w:b/>
                <w:bCs/>
                <w:color w:val="000000"/>
                <w:sz w:val="24"/>
                <w:szCs w:val="24"/>
              </w:rPr>
              <w:t>Мероприятие 20.</w:t>
            </w:r>
            <w:r w:rsidRPr="00F60C2B">
              <w:rPr>
                <w:color w:val="000000"/>
                <w:sz w:val="24"/>
                <w:szCs w:val="24"/>
              </w:rPr>
              <w:t> Участие в реализации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60C2B" w:rsidRDefault="00D02B01" w:rsidP="0077280E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Министерство труда и социального развития Новосибирской области, Министерство здравоохранения Новосибирской области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B01" w:rsidRPr="00F75CA1" w:rsidRDefault="00D02B01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F60C2B">
              <w:rPr>
                <w:color w:val="000000"/>
                <w:sz w:val="24"/>
                <w:szCs w:val="24"/>
              </w:rPr>
              <w:t>Отчет о реализации мероприятия и достижении ЦП</w:t>
            </w:r>
          </w:p>
        </w:tc>
      </w:tr>
    </w:tbl>
    <w:p w:rsidR="00FB276F" w:rsidRDefault="00FB276F" w:rsidP="008B4564">
      <w:pPr>
        <w:adjustRightInd w:val="0"/>
        <w:spacing w:before="120"/>
        <w:ind w:firstLine="709"/>
        <w:jc w:val="both"/>
        <w:rPr>
          <w:sz w:val="28"/>
          <w:szCs w:val="28"/>
        </w:rPr>
      </w:pPr>
    </w:p>
    <w:p w:rsidR="00A10BB1" w:rsidRDefault="00A10BB1" w:rsidP="00A10BB1">
      <w:pPr>
        <w:adjustRightInd w:val="0"/>
        <w:ind w:firstLine="709"/>
        <w:jc w:val="both"/>
        <w:rPr>
          <w:sz w:val="28"/>
          <w:szCs w:val="28"/>
        </w:rPr>
      </w:pPr>
    </w:p>
    <w:p w:rsidR="00A10BB1" w:rsidRDefault="00A10BB1" w:rsidP="00A10BB1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bookmarkEnd w:id="0"/>
    </w:p>
    <w:sectPr w:rsidR="00A10BB1" w:rsidSect="00322204">
      <w:headerReference w:type="default" r:id="rId8"/>
      <w:footerReference w:type="first" r:id="rId9"/>
      <w:pgSz w:w="16840" w:h="11907" w:orient="landscape"/>
      <w:pgMar w:top="1418" w:right="1134" w:bottom="567" w:left="1134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2AB" w:rsidRDefault="001E22AB">
      <w:r>
        <w:separator/>
      </w:r>
    </w:p>
  </w:endnote>
  <w:endnote w:type="continuationSeparator" w:id="0">
    <w:p w:rsidR="001E22AB" w:rsidRDefault="001E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65" w:rsidRDefault="002E00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2AB" w:rsidRDefault="001E22AB">
      <w:r>
        <w:separator/>
      </w:r>
    </w:p>
  </w:footnote>
  <w:footnote w:type="continuationSeparator" w:id="0">
    <w:p w:rsidR="001E22AB" w:rsidRDefault="001E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6CC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7AE"/>
    <w:rsid w:val="00002FF2"/>
    <w:rsid w:val="000033AA"/>
    <w:rsid w:val="00006CC0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4698B"/>
    <w:rsid w:val="0005564A"/>
    <w:rsid w:val="00067050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2607D"/>
    <w:rsid w:val="00130274"/>
    <w:rsid w:val="00133050"/>
    <w:rsid w:val="00133796"/>
    <w:rsid w:val="00136678"/>
    <w:rsid w:val="00136D19"/>
    <w:rsid w:val="00137969"/>
    <w:rsid w:val="00140665"/>
    <w:rsid w:val="00143993"/>
    <w:rsid w:val="00164153"/>
    <w:rsid w:val="00164D3A"/>
    <w:rsid w:val="00165382"/>
    <w:rsid w:val="00171C93"/>
    <w:rsid w:val="00172A4D"/>
    <w:rsid w:val="00172D43"/>
    <w:rsid w:val="0018046E"/>
    <w:rsid w:val="00180F2D"/>
    <w:rsid w:val="00181BB1"/>
    <w:rsid w:val="0018230C"/>
    <w:rsid w:val="00183504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B5548"/>
    <w:rsid w:val="001D74A1"/>
    <w:rsid w:val="001E22AB"/>
    <w:rsid w:val="001F11B9"/>
    <w:rsid w:val="001F282D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992"/>
    <w:rsid w:val="002801F3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065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204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49F4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56F5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37CAE"/>
    <w:rsid w:val="0044504E"/>
    <w:rsid w:val="00453F99"/>
    <w:rsid w:val="0045763C"/>
    <w:rsid w:val="00462966"/>
    <w:rsid w:val="00464982"/>
    <w:rsid w:val="00474059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16CD0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6143"/>
    <w:rsid w:val="005B78E3"/>
    <w:rsid w:val="005C2907"/>
    <w:rsid w:val="005C6B1B"/>
    <w:rsid w:val="005D0C16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253F9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111B"/>
    <w:rsid w:val="006631DB"/>
    <w:rsid w:val="00663F53"/>
    <w:rsid w:val="0067151A"/>
    <w:rsid w:val="00675700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E7694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09DA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4E48"/>
    <w:rsid w:val="00766B7E"/>
    <w:rsid w:val="0077114A"/>
    <w:rsid w:val="0077280E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57712"/>
    <w:rsid w:val="00862E36"/>
    <w:rsid w:val="0086428B"/>
    <w:rsid w:val="00872BD6"/>
    <w:rsid w:val="00874376"/>
    <w:rsid w:val="00877064"/>
    <w:rsid w:val="00880D58"/>
    <w:rsid w:val="0088232D"/>
    <w:rsid w:val="00882359"/>
    <w:rsid w:val="00893C5B"/>
    <w:rsid w:val="00896F9B"/>
    <w:rsid w:val="00897DF2"/>
    <w:rsid w:val="008A02E1"/>
    <w:rsid w:val="008A4F60"/>
    <w:rsid w:val="008B14D9"/>
    <w:rsid w:val="008B4564"/>
    <w:rsid w:val="008B7AE7"/>
    <w:rsid w:val="008C0C2F"/>
    <w:rsid w:val="008C5705"/>
    <w:rsid w:val="008C6E46"/>
    <w:rsid w:val="008C74F6"/>
    <w:rsid w:val="008D5815"/>
    <w:rsid w:val="008D65F7"/>
    <w:rsid w:val="008E0ACC"/>
    <w:rsid w:val="008E4CE8"/>
    <w:rsid w:val="008E79E8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2A28"/>
    <w:rsid w:val="009D6984"/>
    <w:rsid w:val="009D6CD3"/>
    <w:rsid w:val="009D7AA9"/>
    <w:rsid w:val="009E3E58"/>
    <w:rsid w:val="009E473B"/>
    <w:rsid w:val="009E537D"/>
    <w:rsid w:val="009E76B3"/>
    <w:rsid w:val="00A10BB1"/>
    <w:rsid w:val="00A10E21"/>
    <w:rsid w:val="00A12F47"/>
    <w:rsid w:val="00A2234D"/>
    <w:rsid w:val="00A333DF"/>
    <w:rsid w:val="00A34EC6"/>
    <w:rsid w:val="00A429B9"/>
    <w:rsid w:val="00A44CCF"/>
    <w:rsid w:val="00A518A7"/>
    <w:rsid w:val="00A5476E"/>
    <w:rsid w:val="00A5510B"/>
    <w:rsid w:val="00A56AF8"/>
    <w:rsid w:val="00A57B49"/>
    <w:rsid w:val="00A700F1"/>
    <w:rsid w:val="00A70443"/>
    <w:rsid w:val="00A724FE"/>
    <w:rsid w:val="00A77808"/>
    <w:rsid w:val="00A81905"/>
    <w:rsid w:val="00A8196B"/>
    <w:rsid w:val="00A84521"/>
    <w:rsid w:val="00A84D27"/>
    <w:rsid w:val="00A86E21"/>
    <w:rsid w:val="00A87E78"/>
    <w:rsid w:val="00A91EF1"/>
    <w:rsid w:val="00A97D6A"/>
    <w:rsid w:val="00AA19E8"/>
    <w:rsid w:val="00AA2E93"/>
    <w:rsid w:val="00AA4465"/>
    <w:rsid w:val="00AA61D1"/>
    <w:rsid w:val="00AC0171"/>
    <w:rsid w:val="00AC14D0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166B"/>
    <w:rsid w:val="00B94BE6"/>
    <w:rsid w:val="00B964F4"/>
    <w:rsid w:val="00B96671"/>
    <w:rsid w:val="00B97713"/>
    <w:rsid w:val="00BA101E"/>
    <w:rsid w:val="00BA3B8A"/>
    <w:rsid w:val="00BA695F"/>
    <w:rsid w:val="00BA71FE"/>
    <w:rsid w:val="00BB145A"/>
    <w:rsid w:val="00BB6BEF"/>
    <w:rsid w:val="00BB7BF9"/>
    <w:rsid w:val="00BC1A1F"/>
    <w:rsid w:val="00BC463F"/>
    <w:rsid w:val="00BD7929"/>
    <w:rsid w:val="00BE000A"/>
    <w:rsid w:val="00BE0FAD"/>
    <w:rsid w:val="00BF3218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41656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0DEB"/>
    <w:rsid w:val="00CA2647"/>
    <w:rsid w:val="00CA3163"/>
    <w:rsid w:val="00CA6F56"/>
    <w:rsid w:val="00CA7EBC"/>
    <w:rsid w:val="00CB0E03"/>
    <w:rsid w:val="00CB3CCE"/>
    <w:rsid w:val="00CB5E08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30C1"/>
    <w:rsid w:val="00CE47F8"/>
    <w:rsid w:val="00CE5536"/>
    <w:rsid w:val="00CE6F34"/>
    <w:rsid w:val="00CF0F80"/>
    <w:rsid w:val="00CF19EE"/>
    <w:rsid w:val="00CF5270"/>
    <w:rsid w:val="00D015E4"/>
    <w:rsid w:val="00D0228D"/>
    <w:rsid w:val="00D02B01"/>
    <w:rsid w:val="00D06550"/>
    <w:rsid w:val="00D10B17"/>
    <w:rsid w:val="00D21A8A"/>
    <w:rsid w:val="00D222D2"/>
    <w:rsid w:val="00D26DD0"/>
    <w:rsid w:val="00D34B4F"/>
    <w:rsid w:val="00D46A99"/>
    <w:rsid w:val="00D5084A"/>
    <w:rsid w:val="00D52DE0"/>
    <w:rsid w:val="00D623E2"/>
    <w:rsid w:val="00D64ED5"/>
    <w:rsid w:val="00D72015"/>
    <w:rsid w:val="00D84EDC"/>
    <w:rsid w:val="00D87AEF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E1D07"/>
    <w:rsid w:val="00DE63F2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1FBD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0CBC"/>
    <w:rsid w:val="00E81D8D"/>
    <w:rsid w:val="00E9107D"/>
    <w:rsid w:val="00E93107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46CC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57D54"/>
    <w:rsid w:val="00F60C2B"/>
    <w:rsid w:val="00F622AC"/>
    <w:rsid w:val="00F64B6C"/>
    <w:rsid w:val="00F71858"/>
    <w:rsid w:val="00F7198E"/>
    <w:rsid w:val="00F72671"/>
    <w:rsid w:val="00F76EA3"/>
    <w:rsid w:val="00F81F6B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B276F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967FE2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098524-C590-4E02-891F-37A2C1E9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Винограденко Юлия Николаевна</cp:lastModifiedBy>
  <cp:revision>13</cp:revision>
  <cp:lastPrinted>2019-01-09T03:43:00Z</cp:lastPrinted>
  <dcterms:created xsi:type="dcterms:W3CDTF">2021-07-15T03:34:00Z</dcterms:created>
  <dcterms:modified xsi:type="dcterms:W3CDTF">2021-07-16T12:26:00Z</dcterms:modified>
</cp:coreProperties>
</file>