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2"/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</w:p>
    <w:p>
      <w:pPr>
        <w:ind w:left="4252"/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</w:p>
    <w:p>
      <w:pPr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 внесении изменений в постановление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25.03.2019 № 120-п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25.03.2019 № 120-п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Новосибирской области в виде имущ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ественного взноса в автономную некоммерческую организацию по проведению экспертиз «Центр экспертиз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реамбулу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Федерации, Федеральным законом от 12.01.1996 № 7-ФЗ «О некоммерческих организациях»,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25.10.2023 № 1782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альным предпринимателям, а также физическим лицам - производителям товаров, работ, услуг и проведение отборов получат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 о с т а н о в л я е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 Порядке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абзац 1 пункта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Целью предоставления субсидии является обеспечение уставной деятельности получателя в 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следующих направлений расходов, источником финансового обеспечения которых является субсидия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 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текущем финансовом году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делами Губернатора Новосибирской области и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делами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осуществляющим функции главного распорядителя бюджетных средств, до которого в соответствии с бюджетным законодательством как получателя бюджетных средств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доведены в установленном порядке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лимиты бюджетных обязательств на предоставление субсидии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плановый период, на цели, указанные в пункте 2 настоящего Порядка.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предоставления субсидии – финансовое обеспечение затрат.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закона Новосибирской области о внесении изменений в закон Новосибирской области об областном бюджете.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пункт 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субсидии, а также подтверждения соответствия получателя требованиям, указанным в </w:t>
      </w:r>
      <w:hyperlink r:id="rId11" w:tooltip="https://login.consultant.ru/link/?req=doc&amp;base=RLAW049&amp;n=164094&amp;dst=10010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пункте 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Порядка, получатель представляет в управление делами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hyperlink r:id="rId12" w:tooltip="https://login.consultant.ru/link/?req=doc&amp;base=RLAW049&amp;n=164094&amp;dst=1000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заявку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 получение субсидии по форме согласно приложению № 1 к настоящему Порядку;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</w:t>
      </w:r>
      <w:hyperlink r:id="rId13" w:tooltip="https://login.consultant.ru/link/?req=doc&amp;base=RLAW049&amp;n=164094&amp;dst=100087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смету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расходов, источником финансового обеспечения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 являться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субсидия, составленную по форме согласно приложению № 2 к насто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ящему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смета);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справку налогового органа об отсутствии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налоговом счете или не превышении размера, определенного пунктом 3 статьи 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задолженности об уплате налогов, сборов и страховых взносов в бюджеты бюджетной системы Российской Федерации;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копии учредительных документов получателя, заверенные печатью (при наличии) и подписью уполномоченно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должностного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дополнить пунктом 4.1.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«4.1. Получатель несет ответственность за достоверность сведений, содержащихся в документах, представленных получателем в соответствии с пунктом 4 настоящего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4.2.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«4.2. Проверка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представленных получателем в соответствии с пунктом 4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соответствие их требованиям, указанным в пункте 8 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7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момента их регистрации в управлении делами.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п</w:t>
      </w:r>
      <w:r>
        <w:rPr>
          <w:rFonts w:ascii="Times New Roman" w:hAnsi="Times New Roman" w:cs="Times New Roman"/>
          <w:sz w:val="28"/>
          <w:szCs w:val="28"/>
        </w:rPr>
        <w:t xml:space="preserve">одпункт 8 пункта 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«8) </w:t>
      </w:r>
      <w:r>
        <w:rPr>
          <w:rFonts w:ascii="Times New Roman" w:hAnsi="Times New Roman" w:cs="Times New Roman"/>
          <w:sz w:val="28"/>
          <w:szCs w:val="28"/>
        </w:rPr>
        <w:t xml:space="preserve">запрет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получател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, за счет полученных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</w:t>
      </w:r>
      <w:r>
        <w:rPr>
          <w:rFonts w:ascii="Times New Roman" w:hAnsi="Times New Roman" w:cs="Times New Roman"/>
          <w:sz w:val="28"/>
          <w:szCs w:val="28"/>
        </w:rPr>
        <w:t xml:space="preserve">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пункт 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Требования, которым должен соответствовать получатель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первое число месяца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предшествующего месяцу, в котором планируется заключение соглашения: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4" w:tooltip="https://login.consultant.ru/link/?req=doc&amp;base=LAW&amp;n=420230&amp;dst=100010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в составляемых в рамках реализации полномочий, предусмотренных </w:t>
      </w:r>
      <w:hyperlink r:id="rId15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средства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бюджета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иных нормативных правовых актов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цели, установленные настоящим Порядком;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получатель не должен являться иностранным агентом в соответствии с Федеральным законом «О контроле за деятельностью лиц, находящихся под иностранным влиянием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 на едином налоговом счете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не превыша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размер, определенный </w:t>
      </w:r>
      <w:hyperlink r:id="rId16" w:tooltip="https://login.consultant.ru/link/?req=doc&amp;base=LAW&amp;n=451215&amp;dst=576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просроченная задолженность по возврату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бюджет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исключением случаев,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Правительством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8)  дополнить пунктом 9.1.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9.1. В случае уменьшения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управлению делами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как получателю бюджетных средств ранее доведенных лимитов бюджетных обязательств, указанных в </w:t>
      </w:r>
      <w:hyperlink r:id="rId17" w:tooltip="https://login.consultant.ru/link/?req=doc&amp;base=RLAW072&amp;n=195823&amp;dst=10001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Порядка, приводящего к невозможности предоставления субсидии в размере, определенном в соглашении, заключается дополнительное соглашение, содержащее новые условия соглашения, или соглашение о расторжении - при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согласия по новым условиям.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 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10.2 следующего содержания: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«10.2. </w:t>
      </w: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</w:t>
      </w:r>
      <w:r>
        <w:rPr>
          <w:rFonts w:ascii="Times New Roman" w:hAnsi="Times New Roman" w:cs="Times New Roman"/>
          <w:sz w:val="28"/>
          <w:szCs w:val="28"/>
        </w:rPr>
        <w:t xml:space="preserve">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в форме разделения, выделения, а также при его ликвидации соглашение расторгается с формированием уведомления о расторжении соглашения в односторо</w:t>
      </w:r>
      <w:r>
        <w:rPr>
          <w:rFonts w:ascii="Times New Roman" w:hAnsi="Times New Roman" w:cs="Times New Roman"/>
          <w:sz w:val="28"/>
          <w:szCs w:val="28"/>
        </w:rPr>
        <w:t xml:space="preserve">ннем порядке и акта о</w:t>
      </w:r>
      <w:r>
        <w:rPr>
          <w:rFonts w:ascii="Times New Roman" w:hAnsi="Times New Roman" w:cs="Times New Roman"/>
          <w:sz w:val="28"/>
          <w:szCs w:val="28"/>
        </w:rPr>
        <w:t xml:space="preserve">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абзаце первом пункта 13: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редоставленной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заменить словами «суммы субсидии, израсходованной с нарушениями условий её предоставления»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11) </w:t>
      </w:r>
      <w:r>
        <w:rPr>
          <w:rFonts w:ascii="Times New Roman" w:hAnsi="Times New Roman" w:cs="Times New Roman"/>
          <w:sz w:val="28"/>
          <w:szCs w:val="28"/>
        </w:rPr>
        <w:t xml:space="preserve">изложить пункт 15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15. 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 ежеквартально в срок не позднее 5 рабочих дней со дня окончания соответствующего отчетного квартала представляет в управление делами отчет о достижении значений результатов предоставления субсидии, отчет о реализации плана мероприятий по достиже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нию результатов предоставления субсидии (контрольных точек) и отчет о расходах получателя, источником финансового обеспечения которых является субсидия,  по формам, определенным типовыми формами соглашений, установленными министерством финансов и налогово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политики Новосибирской области.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Управление делами осуществляет проверку предоставленной отчетности в течение 7 рабочих дней со дня ее представления, и при наличии замечаний к документам возвращает ее получателю на доработку в течение одного рабочего дня после завершения проверки. Получат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 обязаны устранить замечания и повторно представить отчетность в управление делами не позднее 3 рабочих дней со дня получения отчетности на доработку.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орядку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 изложить в редакции согласно приложению № 1 к нас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тоящему постановлению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приложения № 2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Порядку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 «СМЕТА расходов, источником финансового обеспечения которых будет являться субсидия, на 20 ___ год».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В.Г. Манев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238 64 45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</w:t>
      </w:r>
      <w:r/>
    </w:p>
    <w:p>
      <w:pPr>
        <w:spacing w:after="0" w:line="240" w:lineRule="auto"/>
        <w:tabs>
          <w:tab w:val="left" w:pos="795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</w:t>
      </w:r>
      <w:r/>
    </w:p>
    <w:p>
      <w:pPr>
        <w:spacing w:after="0" w:line="240" w:lineRule="auto"/>
        <w:tabs>
          <w:tab w:val="left" w:pos="7950" w:leader="none"/>
        </w:tabs>
      </w:pPr>
      <w:r/>
      <w:r/>
    </w:p>
    <w:p>
      <w:pPr>
        <w:ind w:left="6236" w:hanging="6236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«____»__________2024 г.</w:t>
      </w:r>
      <w:r/>
    </w:p>
    <w:p>
      <w:pPr>
        <w:ind w:left="6372"/>
        <w:spacing w:after="0" w:line="240" w:lineRule="auto"/>
      </w:pPr>
      <w:r/>
      <w:r/>
    </w:p>
    <w:p>
      <w:pPr>
        <w:ind w:left="6372"/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 налоговой политики Новосибирской области                                 В.Ю. Голубенко 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«____»__________2024 г.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          Т.Н. Деркач</w:t>
      </w:r>
      <w:r/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«____»__________2024г.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/>
    </w:p>
    <w:p>
      <w:pPr>
        <w:ind w:left="6372"/>
        <w:spacing w:after="0" w:line="240" w:lineRule="auto"/>
      </w:pPr>
      <w:r/>
      <w:r/>
    </w:p>
    <w:p>
      <w:pPr>
        <w:spacing w:after="0" w:line="240" w:lineRule="auto"/>
        <w:tabs>
          <w:tab w:val="left" w:pos="7380" w:leader="none"/>
        </w:tabs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делами Губернатора</w:t>
      </w:r>
      <w:r/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 и Правительства</w:t>
      </w:r>
      <w:r/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В.Г. Манев</w:t>
      </w:r>
      <w:r/>
    </w:p>
    <w:p>
      <w:pPr>
        <w:spacing w:after="0" w:line="240" w:lineRule="auto"/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«____»__________2024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Правительства Новосибирской области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Т.В. Демкова</w:t>
      </w:r>
      <w:r>
        <w:rPr>
          <w:rFonts w:ascii="Times New Roman" w:hAnsi="Times New Roman" w:cs="Times New Roman"/>
          <w:b/>
          <w:bCs/>
          <w:sz w:val="18"/>
          <w:szCs w:val="18"/>
        </w:rPr>
      </w:r>
      <w:r/>
    </w:p>
    <w:p>
      <w:pPr>
        <w:spacing w:after="0" w:line="240" w:lineRule="auto"/>
        <w:tabs>
          <w:tab w:val="left" w:pos="7380" w:leader="none"/>
        </w:tabs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финансового контроля,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аудита и организационного обеспечения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Н.Ю. Лукьянова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716"/>
    <w:link w:val="728"/>
    <w:uiPriority w:val="10"/>
    <w:rPr>
      <w:sz w:val="48"/>
      <w:szCs w:val="48"/>
    </w:rPr>
  </w:style>
  <w:style w:type="character" w:styleId="680">
    <w:name w:val="Subtitle Char"/>
    <w:basedOn w:val="716"/>
    <w:link w:val="730"/>
    <w:uiPriority w:val="11"/>
    <w:rPr>
      <w:sz w:val="24"/>
      <w:szCs w:val="24"/>
    </w:rPr>
  </w:style>
  <w:style w:type="character" w:styleId="681">
    <w:name w:val="Quote Char"/>
    <w:link w:val="732"/>
    <w:uiPriority w:val="29"/>
    <w:rPr>
      <w:i/>
    </w:rPr>
  </w:style>
  <w:style w:type="character" w:styleId="682">
    <w:name w:val="Intense Quote Char"/>
    <w:link w:val="734"/>
    <w:uiPriority w:val="30"/>
    <w:rPr>
      <w:i/>
    </w:rPr>
  </w:style>
  <w:style w:type="character" w:styleId="683">
    <w:name w:val="Header Char"/>
    <w:basedOn w:val="716"/>
    <w:link w:val="736"/>
    <w:uiPriority w:val="99"/>
  </w:style>
  <w:style w:type="character" w:styleId="684">
    <w:name w:val="Caption Char"/>
    <w:basedOn w:val="740"/>
    <w:link w:val="738"/>
    <w:uiPriority w:val="99"/>
  </w:style>
  <w:style w:type="table" w:styleId="68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6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9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2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3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708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706"/>
    <w:next w:val="706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706"/>
    <w:next w:val="706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706"/>
    <w:next w:val="706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6"/>
    <w:next w:val="706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70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link w:val="736"/>
    <w:uiPriority w:val="99"/>
  </w:style>
  <w:style w:type="paragraph" w:styleId="738">
    <w:name w:val="Footer"/>
    <w:basedOn w:val="70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706"/>
    <w:next w:val="70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11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2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Таблица простая 4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 простая 5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1 светл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-сетка 2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Таблица-сетка 5 тем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Таблица-сетка 6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Таблица-сетка 7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1 светл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2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Список-таблица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4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5 тем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Список-таблица 6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Список-таблица 7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No Spacing"/>
    <w:basedOn w:val="706"/>
    <w:uiPriority w:val="1"/>
    <w:qFormat/>
    <w:pPr>
      <w:spacing w:after="0" w:line="240" w:lineRule="auto"/>
    </w:pPr>
  </w:style>
  <w:style w:type="paragraph" w:styleId="887">
    <w:name w:val="List Paragraph"/>
    <w:basedOn w:val="706"/>
    <w:uiPriority w:val="34"/>
    <w:qFormat/>
    <w:pPr>
      <w:contextualSpacing/>
      <w:ind w:left="720"/>
    </w:pPr>
  </w:style>
  <w:style w:type="paragraph" w:styleId="888" w:customStyle="1">
    <w:name w:val="ConsPlusNormal"/>
    <w:qFormat/>
    <w:pPr>
      <w:ind w:firstLine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character" w:styleId="889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890">
    <w:name w:val="annotation text"/>
    <w:basedOn w:val="706"/>
    <w:link w:val="8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1" w:customStyle="1">
    <w:name w:val="Текст примечания Знак"/>
    <w:basedOn w:val="716"/>
    <w:link w:val="890"/>
    <w:uiPriority w:val="99"/>
    <w:semiHidden/>
    <w:rPr>
      <w:sz w:val="20"/>
      <w:szCs w:val="20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b/>
      <w:bCs/>
      <w:sz w:val="20"/>
      <w:szCs w:val="20"/>
    </w:rPr>
  </w:style>
  <w:style w:type="paragraph" w:styleId="894">
    <w:name w:val="Balloon Text"/>
    <w:basedOn w:val="706"/>
    <w:link w:val="89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716"/>
    <w:link w:val="89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64094&amp;dst=100106" TargetMode="External"/><Relationship Id="rId12" Type="http://schemas.openxmlformats.org/officeDocument/2006/relationships/hyperlink" Target="https://login.consultant.ru/link/?req=doc&amp;base=RLAW049&amp;n=164094&amp;dst=100068" TargetMode="External"/><Relationship Id="rId13" Type="http://schemas.openxmlformats.org/officeDocument/2006/relationships/hyperlink" Target="https://login.consultant.ru/link/?req=doc&amp;base=RLAW049&amp;n=164094&amp;dst=100087" TargetMode="External"/><Relationship Id="rId14" Type="http://schemas.openxmlformats.org/officeDocument/2006/relationships/hyperlink" Target="https://login.consultant.ru/link/?req=doc&amp;base=LAW&amp;n=420230&amp;dst=100010" TargetMode="External"/><Relationship Id="rId15" Type="http://schemas.openxmlformats.org/officeDocument/2006/relationships/hyperlink" Target="https://login.consultant.ru/link/?req=doc&amp;base=LAW&amp;n=121087&amp;dst=100142" TargetMode="External"/><Relationship Id="rId16" Type="http://schemas.openxmlformats.org/officeDocument/2006/relationships/hyperlink" Target="https://login.consultant.ru/link/?req=doc&amp;base=LAW&amp;n=451215&amp;dst=5769" TargetMode="External"/><Relationship Id="rId17" Type="http://schemas.openxmlformats.org/officeDocument/2006/relationships/hyperlink" Target="https://login.consultant.ru/link/?req=doc&amp;base=RLAW072&amp;n=195823&amp;dst=1000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1517-4422-41B5-AC93-45E4261E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revision>11</cp:revision>
  <dcterms:created xsi:type="dcterms:W3CDTF">2023-12-10T08:01:00Z</dcterms:created>
  <dcterms:modified xsi:type="dcterms:W3CDTF">2024-02-16T03:22:36Z</dcterms:modified>
</cp:coreProperties>
</file>