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Проект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</w:t>
      </w:r>
      <w:r>
        <w:rPr>
          <w:rStyle w:val="854"/>
          <w:b w:val="0"/>
          <w:color w:val="000000"/>
          <w:sz w:val="28"/>
          <w:szCs w:val="28"/>
        </w:rPr>
        <w:t xml:space="preserve">остановления </w:t>
      </w:r>
      <w:r>
        <w:rPr>
          <w:rStyle w:val="854"/>
          <w:b w:val="0"/>
          <w:color w:val="000000"/>
          <w:sz w:val="28"/>
          <w:szCs w:val="28"/>
        </w:rPr>
        <w:t xml:space="preserve">Правительства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 </w:t>
      </w:r>
      <w:r>
        <w:rPr>
          <w:color w:val="000000"/>
          <w:sz w:val="28"/>
          <w:szCs w:val="28"/>
          <w:highlight w:val="white"/>
        </w:rPr>
        <w:t xml:space="preserve">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6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0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.20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 № 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54</w:t>
      </w:r>
      <w:r>
        <w:rPr>
          <w:color w:val="000000"/>
          <w:sz w:val="28"/>
          <w:szCs w:val="28"/>
          <w:highlight w:val="white"/>
        </w:rPr>
        <w:t xml:space="preserve">-п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 признании утратившими силу отдельных постановлений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ind w:firstLine="540"/>
        <w:jc w:val="both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</w:t>
      </w:r>
      <w:r>
        <w:rPr>
          <w:b/>
          <w:sz w:val="28"/>
          <w:szCs w:val="28"/>
        </w:rPr>
        <w:t xml:space="preserve">е 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 от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.0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 xml:space="preserve">154-п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установлении Порядка предоставления многодетным семьям ежегодной денежной выплаты на приобретение одежды обучающихся для обучающихся в об</w:t>
      </w:r>
      <w:r>
        <w:rPr>
          <w:rFonts w:eastAsia="Calibri"/>
          <w:sz w:val="28"/>
          <w:szCs w:val="28"/>
        </w:rPr>
        <w:t xml:space="preserve">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Порядка финансирования расходов на предоставление многодетным семьям ежегодной денежно</w:t>
      </w:r>
      <w:r>
        <w:rPr>
          <w:rFonts w:eastAsia="Calibri"/>
          <w:sz w:val="28"/>
          <w:szCs w:val="28"/>
        </w:rPr>
        <w:t xml:space="preserve">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размера ежегодной ден</w:t>
      </w:r>
      <w:r>
        <w:rPr>
          <w:rFonts w:eastAsia="Calibri"/>
          <w:sz w:val="28"/>
          <w:szCs w:val="28"/>
        </w:rPr>
        <w:t xml:space="preserve">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1) </w:t>
      </w:r>
      <w:r>
        <w:rPr>
          <w:rFonts w:eastAsia="Calibri"/>
          <w:sz w:val="28"/>
          <w:szCs w:val="28"/>
        </w:rPr>
        <w:t xml:space="preserve">в наименовании, подпунктах 1, 2 пункта 1 слова </w:t>
      </w:r>
      <w:r>
        <w:rPr>
          <w:rFonts w:eastAsia="Calibri"/>
          <w:sz w:val="28"/>
          <w:szCs w:val="28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в пункте 2 </w:t>
      </w:r>
      <w:r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, </w:t>
      </w:r>
      <w:r>
        <w:rPr>
          <w:rFonts w:eastAsia="Calibri"/>
          <w:sz w:val="28"/>
          <w:szCs w:val="28"/>
          <w:highlight w:val="none"/>
        </w:rPr>
        <w:t xml:space="preserve">слова «2200 рублей» заменить словами «4000 рублей»;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3) </w:t>
      </w:r>
      <w:r>
        <w:rPr>
          <w:rFonts w:eastAsia="Calibri"/>
          <w:sz w:val="28"/>
          <w:szCs w:val="28"/>
          <w:highlight w:val="none"/>
        </w:rPr>
        <w:t xml:space="preserve">в пункте 3 </w:t>
      </w:r>
      <w:r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4) 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consultantplus://offline/ref=F6D0F48552B8CF1683120031655B3D495DB1B0E224C089C7A839715E52C2C907F60CE8A6E701204CF6965ACA96D4A287A616C91BECC5537A4FC5C942NBf6E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в Порядке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предоставления многодетным се</w:t>
      </w:r>
      <w:r>
        <w:rPr>
          <w:rFonts w:eastAsia="Calibri"/>
          <w:sz w:val="28"/>
          <w:szCs w:val="28"/>
        </w:rPr>
        <w:t xml:space="preserve">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а) в наименовании и пункте 1 </w:t>
      </w:r>
      <w:r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б) в пункте 3 слова «</w:t>
      </w:r>
      <w:r>
        <w:rPr>
          <w:rFonts w:eastAsia="Calibri"/>
          <w:sz w:val="28"/>
          <w:szCs w:val="28"/>
          <w:highlight w:val="none"/>
        </w:rPr>
        <w:t xml:space="preserve">в образовательной организации, осуществляющей образовательную деятельность, по образовательным программам начального общего, основного общего и среднего общего образования (далее </w:t>
      </w:r>
      <w:r>
        <w:rPr>
          <w:rFonts w:eastAsia="Times New Roman"/>
          <w:color w:val="000000"/>
          <w:sz w:val="28"/>
          <w:szCs w:val="28"/>
          <w:highlight w:val="none"/>
        </w:rPr>
        <w:t xml:space="preserve">– </w:t>
      </w:r>
      <w:r>
        <w:rPr>
          <w:rFonts w:eastAsia="Calibri"/>
          <w:sz w:val="28"/>
          <w:szCs w:val="28"/>
          <w:highlight w:val="none"/>
        </w:rPr>
        <w:t xml:space="preserve">общеобразовательная организация)» заменить словами </w:t>
      </w:r>
      <w:r>
        <w:rPr>
          <w:rFonts w:eastAsia="Calibri"/>
          <w:sz w:val="28"/>
          <w:szCs w:val="28"/>
          <w:highlight w:val="none"/>
        </w:rPr>
        <w:t xml:space="preserve">«в </w:t>
      </w:r>
      <w:r>
        <w:rPr>
          <w:rFonts w:eastAsia="Calibri"/>
          <w:sz w:val="28"/>
          <w:szCs w:val="28"/>
          <w:highlight w:val="none"/>
        </w:rPr>
        <w:t xml:space="preserve">общеобразовательной организации»;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в) </w:t>
      </w:r>
      <w:r>
        <w:rPr>
          <w:rFonts w:eastAsia="Calibri"/>
          <w:sz w:val="28"/>
          <w:szCs w:val="28"/>
          <w:highlight w:val="none"/>
        </w:rPr>
        <w:t xml:space="preserve">в пункте 12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заменить словами «государственной информационной сис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теме «Единая централизованная цифровая платформа в социальной сфере»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</w:rPr>
        <w:t xml:space="preserve">3) 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consultantplus://offline/ref=E3DE5C45A1D7BF526F5B916902A8642E9705E7F261B1CBE462DAEED5E1EB986131B43E1BE760F8EC226204B78CAAA7142BAB80E2B82E51A4F8C36268tBgBE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Поряд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ке</w:t>
      </w:r>
      <w:r>
        <w:rPr>
          <w:rFonts w:eastAsia="Calibri"/>
          <w:sz w:val="28"/>
          <w:szCs w:val="28"/>
        </w:rPr>
        <w:t xml:space="preserve"> фина</w:t>
      </w:r>
      <w:r>
        <w:rPr>
          <w:rFonts w:eastAsia="Calibri"/>
          <w:sz w:val="28"/>
          <w:szCs w:val="28"/>
        </w:rPr>
        <w:t xml:space="preserve">нсирования расходов на предоставление многодетным се</w:t>
      </w:r>
      <w:r>
        <w:rPr>
          <w:rFonts w:eastAsia="Calibri"/>
          <w:sz w:val="28"/>
          <w:szCs w:val="28"/>
        </w:rPr>
        <w:t xml:space="preserve">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  <w:r>
        <w:rPr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в наименовании и пункте 1 </w:t>
      </w:r>
      <w:r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2. Признать утратившими силу: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постановление Правительства Новосибирской области от 24.08.2015 </w:t>
        <w:br/>
        <w:t xml:space="preserve">№ 322-п </w:t>
      </w:r>
      <w:r>
        <w:rPr>
          <w:rFonts w:eastAsia="Calibri"/>
          <w:sz w:val="28"/>
          <w:szCs w:val="28"/>
          <w:highlight w:val="none"/>
        </w:rPr>
        <w:t xml:space="preserve">«О ежегодной выплате на приобретение школьно-письменных принадлежностей на каждого ребенка школьного возраста из малоимущей многодетной семьи»;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пункт 8 постановления Правительства Новосибирской области от 05.09.2017 № 339-п </w:t>
      </w:r>
      <w:r>
        <w:rPr>
          <w:rFonts w:eastAsia="Calibri"/>
          <w:sz w:val="28"/>
          <w:szCs w:val="28"/>
          <w:highlight w:val="non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10 постановления Правительства Новосибирской области </w:t>
      </w:r>
      <w:r>
        <w:rPr>
          <w:sz w:val="28"/>
          <w:szCs w:val="28"/>
        </w:rPr>
        <w:t xml:space="preserve">от 10.04.2018 № 143-п</w:t>
      </w:r>
      <w:r>
        <w:t xml:space="preserve"> </w:t>
      </w:r>
      <w:r>
        <w:rPr>
          <w:sz w:val="28"/>
          <w:szCs w:val="28"/>
        </w:rPr>
        <w:t xml:space="preserve">«О внесении изменений в отдельные постановления Правительства Новосибирской области»;</w:t>
      </w:r>
      <w:r>
        <w:rPr>
          <w:rFonts w:eastAsia="Calibri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от 02.10.2018 № 431-п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3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от </w:t>
      </w:r>
      <w:r>
        <w:rPr>
          <w:sz w:val="28"/>
          <w:szCs w:val="28"/>
          <w:highlight w:val="none"/>
        </w:rPr>
        <w:t xml:space="preserve">25.12.2018 № 557-п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8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26.08.2019 № 347-п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2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20.07.2021 № 285-п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27.10.2021 № 440-п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6 постановления Правительства Новосибирской области</w:t>
      </w:r>
      <w:r>
        <w:rPr>
          <w:highlight w:val="none"/>
        </w:rPr>
        <w:t xml:space="preserve"> </w:t>
      </w:r>
      <w:r>
        <w:rPr>
          <w:sz w:val="28"/>
          <w:szCs w:val="28"/>
        </w:rPr>
        <w:t xml:space="preserve">от 01.03.2022 № 65-п</w:t>
      </w:r>
      <w:r>
        <w:t xml:space="preserve"> </w:t>
      </w:r>
      <w:r>
        <w:rPr>
          <w:sz w:val="28"/>
          <w:szCs w:val="28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6 постановления Правительства Новосибирской области</w:t>
      </w:r>
      <w:r>
        <w:rPr>
          <w:highlight w:val="none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14.11.2022 № 536-п</w:t>
      </w:r>
      <w:r>
        <w:t xml:space="preserve"> </w:t>
      </w:r>
      <w:r>
        <w:rPr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5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от 12.12.2023 № 589-п </w:t>
      </w:r>
      <w:r>
        <w:rPr>
          <w:sz w:val="28"/>
          <w:szCs w:val="28"/>
          <w:highlight w:val="none"/>
        </w:rPr>
        <w:t xml:space="preserve">«О внесении изменений в постановление администрации Новосибирской области и отдельные постановления Правительства Новосибирской области»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none"/>
        </w:rPr>
        <w:t xml:space="preserve"> от 30.01.2024 № 22-п </w:t>
      </w:r>
      <w:r>
        <w:rPr>
          <w:sz w:val="28"/>
          <w:szCs w:val="28"/>
          <w:highlight w:val="none"/>
        </w:rPr>
        <w:t xml:space="preserve">«О внесении изменений в постановление администрации Новосибирской области и отдельные постановления Правительства Новосибирской области».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Е.В. Бахарева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0"/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238 75 10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character" w:styleId="854">
    <w:name w:val="Строгий"/>
    <w:next w:val="854"/>
    <w:link w:val="850"/>
    <w:qFormat/>
    <w:rPr>
      <w:b/>
      <w:bCs/>
    </w:rPr>
  </w:style>
  <w:style w:type="paragraph" w:styleId="855">
    <w:name w:val="ConsPlusNormal"/>
    <w:next w:val="855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Ниж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Текст выноски"/>
    <w:basedOn w:val="850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2">
    <w:name w:val="Сетка таблицы"/>
    <w:basedOn w:val="852"/>
    <w:next w:val="862"/>
    <w:link w:val="850"/>
    <w:uiPriority w:val="59"/>
    <w:pPr>
      <w:spacing w:after="0" w:line="240" w:lineRule="auto"/>
    </w:pPr>
    <w:tblPr/>
  </w:style>
  <w:style w:type="paragraph" w:styleId="863">
    <w:name w:val="Абзац списка"/>
    <w:basedOn w:val="850"/>
    <w:next w:val="863"/>
    <w:link w:val="850"/>
    <w:uiPriority w:val="34"/>
    <w:qFormat/>
    <w:pPr>
      <w:contextualSpacing/>
      <w:ind w:left="720"/>
    </w:pPr>
  </w:style>
  <w:style w:type="character" w:styleId="864">
    <w:name w:val="Знак примечания"/>
    <w:next w:val="864"/>
    <w:link w:val="850"/>
    <w:uiPriority w:val="99"/>
    <w:semiHidden/>
    <w:unhideWhenUsed/>
    <w:rPr>
      <w:sz w:val="16"/>
      <w:szCs w:val="16"/>
    </w:rPr>
  </w:style>
  <w:style w:type="paragraph" w:styleId="865">
    <w:name w:val="Текст примечания"/>
    <w:basedOn w:val="850"/>
    <w:next w:val="865"/>
    <w:link w:val="866"/>
    <w:uiPriority w:val="99"/>
    <w:semiHidden/>
    <w:unhideWhenUsed/>
    <w:rPr>
      <w:sz w:val="20"/>
      <w:szCs w:val="20"/>
    </w:rPr>
  </w:style>
  <w:style w:type="character" w:styleId="866">
    <w:name w:val="Текст примечания Знак"/>
    <w:next w:val="866"/>
    <w:link w:val="865"/>
    <w:uiPriority w:val="99"/>
    <w:semiHidden/>
    <w:rPr>
      <w:rFonts w:ascii="Times New Roman" w:hAnsi="Times New Roman" w:eastAsia="Times New Roman"/>
    </w:rPr>
  </w:style>
  <w:style w:type="paragraph" w:styleId="867">
    <w:name w:val="Тема примечания"/>
    <w:basedOn w:val="865"/>
    <w:next w:val="865"/>
    <w:link w:val="868"/>
    <w:uiPriority w:val="99"/>
    <w:semiHidden/>
    <w:unhideWhenUsed/>
    <w:rPr>
      <w:b/>
      <w:bCs/>
    </w:rPr>
  </w:style>
  <w:style w:type="character" w:styleId="868">
    <w:name w:val="Тема примечания Знак"/>
    <w:next w:val="868"/>
    <w:link w:val="867"/>
    <w:uiPriority w:val="99"/>
    <w:semiHidden/>
    <w:rPr>
      <w:rFonts w:ascii="Times New Roman" w:hAnsi="Times New Roman" w:eastAsia="Times New Roman"/>
      <w:b/>
      <w:bCs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7</cp:revision>
  <dcterms:created xsi:type="dcterms:W3CDTF">2023-07-06T04:30:00Z</dcterms:created>
  <dcterms:modified xsi:type="dcterms:W3CDTF">2024-04-25T03:15:08Z</dcterms:modified>
  <cp:version>917504</cp:version>
</cp:coreProperties>
</file>