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 внесении изменений в постановление Правите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льства Новосибирской области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29.08.2023  № 410-п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 w:themeColor="text1"/>
          <w:sz w:val="28"/>
          <w:szCs w:val="28"/>
        </w:rPr>
        <w:t xml:space="preserve">п о с т а н о в л я е т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142" w:right="0" w:firstLine="567"/>
        <w:jc w:val="both"/>
        <w:spacing w:before="0" w:after="0"/>
        <w:widowControl w:val="o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"consultantplus://offline/ref=8AC721394EEC8870425A74814FC0FA3678596D1710FAC2087958AA6468D177F6LAU9H" </w:instrText>
      </w:r>
      <w:r>
        <w:rPr>
          <w:color w:val="000000" w:themeColor="text1"/>
        </w:rPr>
        <w:fldChar w:fldCharType="separate"/>
      </w:r>
      <w:r>
        <w:rPr>
          <w:rStyle w:val="840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Style w:val="840"/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 Правите</w:t>
      </w:r>
      <w:r>
        <w:rPr>
          <w:color w:val="000000" w:themeColor="text1"/>
          <w:sz w:val="28"/>
          <w:szCs w:val="28"/>
        </w:rPr>
        <w:t xml:space="preserve">льства Новосибирской области от </w:t>
      </w:r>
      <w:r>
        <w:rPr>
          <w:color w:val="000000" w:themeColor="text1"/>
          <w:sz w:val="28"/>
          <w:szCs w:val="28"/>
        </w:rPr>
        <w:t xml:space="preserve">29.08.2023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 </w:t>
      </w:r>
      <w:r>
        <w:rPr>
          <w:color w:val="000000" w:themeColor="text1"/>
          <w:sz w:val="28"/>
          <w:szCs w:val="28"/>
        </w:rPr>
        <w:t xml:space="preserve">410-п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 совете по научно-технической политике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Правительстве Новосибирской области</w:t>
      </w:r>
      <w:r>
        <w:rPr>
          <w:color w:val="000000" w:themeColor="text1"/>
          <w:sz w:val="28"/>
          <w:szCs w:val="28"/>
        </w:rPr>
        <w:t xml:space="preserve">» следующие изменения: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36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остав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совета </w:t>
      </w:r>
      <w:r>
        <w:rPr>
          <w:color w:val="000000" w:themeColor="text1"/>
          <w:sz w:val="28"/>
          <w:szCs w:val="28"/>
        </w:rPr>
        <w:t xml:space="preserve">по научно-технической политике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Правительстве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(далее – Совет):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1. В</w:t>
      </w:r>
      <w:r>
        <w:rPr>
          <w:color w:val="000000" w:themeColor="text1"/>
          <w:sz w:val="28"/>
          <w:szCs w:val="28"/>
        </w:rPr>
        <w:t xml:space="preserve">вести в состав Совета: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Голубенко </w:t>
      </w:r>
      <w:r>
        <w:rPr>
          <w:sz w:val="28"/>
          <w:szCs w:val="28"/>
        </w:rPr>
        <w:t xml:space="preserve">Виталия Юрьевич</w:t>
      </w:r>
      <w:r>
        <w:rPr>
          <w:color w:val="000000" w:themeColor="text1"/>
          <w:sz w:val="28"/>
          <w:szCs w:val="28"/>
          <w:highlight w:val="none"/>
        </w:rPr>
        <w:t xml:space="preserve">а, </w:t>
      </w:r>
      <w:r>
        <w:rPr>
          <w:sz w:val="28"/>
          <w:szCs w:val="28"/>
        </w:rPr>
        <w:t xml:space="preserve">заместителя Председателя Правительства Новосибирской области – министра финансов и налоговой политики Новосибирской области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36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Жафяров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Марию Наильевну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министра образования Новосибирской области.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Наименование должности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Федорчука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Сергея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Владимирович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 </w:t>
      </w:r>
      <w:r>
        <w:rPr>
          <w:rFonts w:ascii="Times New Roman" w:hAnsi="Times New Roman"/>
          <w:sz w:val="28"/>
          <w:szCs w:val="28"/>
        </w:rPr>
        <w:t xml:space="preserve">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«руководитель департамента молодежной политики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Новосибирской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</w:pPr>
      <w:r/>
      <w:r/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</w:pPr>
      <w:r>
        <w:rPr>
          <w:sz w:val="20"/>
          <w:szCs w:val="20"/>
        </w:rPr>
        <w:t xml:space="preserve">В.В. Васильев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993" w:right="567" w:bottom="709" w:left="1418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238 66 74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center"/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45"/>
        <w:gridCol w:w="2456"/>
        <w:gridCol w:w="2711"/>
      </w:tblGrid>
      <w:tr>
        <w:trPr>
          <w:trHeight w:val="9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5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Ю.Ф. Петухов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«__» 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5" w:type="dxa"/>
            <w:vAlign w:val="top"/>
            <w:textDirection w:val="lrTb"/>
            <w:noWrap w:val="false"/>
          </w:tcPr>
          <w:p>
            <w:pPr>
              <w:pStyle w:val="83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Губернатора 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6"/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6"/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И.В. Мануйлова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«__» _______ 20__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6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5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ind w:left="-25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</w:t>
            </w:r>
            <w:r>
              <w:rPr>
                <w:sz w:val="28"/>
                <w:szCs w:val="28"/>
                <w:lang w:eastAsia="en-US"/>
              </w:rPr>
              <w:t xml:space="preserve">«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__» 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5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науки и инновационной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dxa"/>
            <w:vAlign w:val="top"/>
            <w:textDirection w:val="lrTb"/>
            <w:noWrap w:val="false"/>
          </w:tcPr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.В. Васильев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«__» _______ 20__г.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П.Н. Кривко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none"/>
        </w:rPr>
        <w:t xml:space="preserve">238 75 52</w:t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rFonts w:ascii="Times New Roman" w:hAnsi="Times New Roman" w:eastAsia="Times New Roman"/>
      <w:lang w:val="ru-RU" w:eastAsia="ru-RU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tblPr/>
  </w:style>
  <w:style w:type="numbering" w:styleId="839">
    <w:name w:val="Нет списка"/>
    <w:next w:val="839"/>
    <w:link w:val="836"/>
    <w:uiPriority w:val="99"/>
    <w:semiHidden/>
    <w:unhideWhenUsed/>
  </w:style>
  <w:style w:type="character" w:styleId="840">
    <w:name w:val="Гиперссылка"/>
    <w:next w:val="840"/>
    <w:link w:val="836"/>
    <w:uiPriority w:val="99"/>
    <w:semiHidden/>
    <w:unhideWhenUsed/>
    <w:rPr>
      <w:color w:val="0000ff"/>
      <w:u w:val="single"/>
    </w:rPr>
  </w:style>
  <w:style w:type="paragraph" w:styleId="841">
    <w:name w:val="Основной текст"/>
    <w:basedOn w:val="836"/>
    <w:next w:val="841"/>
    <w:link w:val="842"/>
    <w:uiPriority w:val="99"/>
    <w:semiHidden/>
    <w:unhideWhenUsed/>
    <w:pPr>
      <w:jc w:val="both"/>
    </w:pPr>
    <w:rPr>
      <w:sz w:val="28"/>
      <w:szCs w:val="28"/>
    </w:rPr>
  </w:style>
  <w:style w:type="character" w:styleId="842">
    <w:name w:val="Основной текст Знак"/>
    <w:next w:val="842"/>
    <w:link w:val="841"/>
    <w:uiPriority w:val="99"/>
    <w:semiHidden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3">
    <w:name w:val="ConsPlusNormal"/>
    <w:next w:val="843"/>
    <w:link w:val="836"/>
    <w:rPr>
      <w:rFonts w:ascii="Times New Roman" w:hAnsi="Times New Roman"/>
      <w:sz w:val="24"/>
      <w:szCs w:val="24"/>
      <w:lang w:val="ru-RU" w:eastAsia="en-US" w:bidi="ar-SA"/>
    </w:rPr>
  </w:style>
  <w:style w:type="paragraph" w:styleId="844">
    <w:name w:val="Абзац списка"/>
    <w:basedOn w:val="836"/>
    <w:next w:val="844"/>
    <w:link w:val="8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45">
    <w:name w:val="Текст выноски"/>
    <w:basedOn w:val="836"/>
    <w:next w:val="845"/>
    <w:link w:val="846"/>
    <w:uiPriority w:val="99"/>
    <w:semiHidden/>
    <w:unhideWhenUsed/>
    <w:rPr>
      <w:rFonts w:ascii="Tahoma" w:hAnsi="Tahoma" w:cs="Tahoma"/>
      <w:sz w:val="16"/>
      <w:szCs w:val="16"/>
    </w:rPr>
  </w:style>
  <w:style w:type="character" w:styleId="846">
    <w:name w:val="Текст выноски Знак"/>
    <w:next w:val="846"/>
    <w:link w:val="84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7">
    <w:name w:val="ConsPlusTitle"/>
    <w:next w:val="847"/>
    <w:link w:val="83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table" w:styleId="848">
    <w:name w:val="Сетка таблицы"/>
    <w:basedOn w:val="838"/>
    <w:next w:val="848"/>
    <w:link w:val="836"/>
    <w:uiPriority w:val="59"/>
    <w:pPr>
      <w:spacing w:after="0" w:line="240" w:lineRule="auto"/>
    </w:pPr>
    <w:tblPr/>
  </w:style>
  <w:style w:type="paragraph" w:styleId="849">
    <w:name w:val="Нижний колонтитул"/>
    <w:basedOn w:val="836"/>
    <w:next w:val="849"/>
    <w:link w:val="850"/>
    <w:uiPriority w:val="99"/>
    <w:unhideWhenUsed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0">
    <w:name w:val="Нижний колонтитул Знак"/>
    <w:next w:val="850"/>
    <w:link w:val="84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paragraph" w:styleId="854" w:customStyle="1">
    <w:name w:val="Normal (Web)"/>
    <w:basedOn w:val="70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revision>28</cp:revision>
  <dcterms:created xsi:type="dcterms:W3CDTF">2020-08-21T07:04:00Z</dcterms:created>
  <dcterms:modified xsi:type="dcterms:W3CDTF">2023-12-15T04:35:06Z</dcterms:modified>
  <cp:version>1048576</cp:version>
</cp:coreProperties>
</file>